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66CF" w14:textId="248640E0" w:rsidR="00150958" w:rsidRPr="00554A6E" w:rsidRDefault="00554A6E" w:rsidP="00554A6E">
      <w:pPr>
        <w:suppressAutoHyphens w:val="0"/>
        <w:jc w:val="center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SCHEDA INFORMATIVA</w:t>
      </w:r>
      <w:r w:rsidR="00C03C3E">
        <w:rPr>
          <w:rFonts w:ascii="Century Gothic" w:hAnsi="Century Gothic"/>
          <w:b/>
          <w:bCs/>
          <w:color w:val="auto"/>
          <w:sz w:val="20"/>
          <w:szCs w:val="20"/>
        </w:rPr>
        <w:t xml:space="preserve">: </w:t>
      </w: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 xml:space="preserve">VACCINO </w:t>
      </w:r>
      <w:r w:rsidR="003963F7">
        <w:rPr>
          <w:rFonts w:ascii="Century Gothic" w:hAnsi="Century Gothic" w:cs="Century Gothic"/>
          <w:b/>
          <w:szCs w:val="24"/>
        </w:rPr>
        <w:t>PNEUMOCOCCO</w:t>
      </w:r>
    </w:p>
    <w:p w14:paraId="4164C6FA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Quale malattia previene?</w:t>
      </w:r>
    </w:p>
    <w:p w14:paraId="1AC4183C" w14:textId="77777777" w:rsidR="00AC4ED7" w:rsidRPr="00A560F2" w:rsidRDefault="00AC4ED7" w:rsidP="00AC4ED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560F2">
        <w:rPr>
          <w:rFonts w:ascii="Century Gothic" w:hAnsi="Century Gothic" w:cs="Century Gothic"/>
          <w:sz w:val="20"/>
          <w:szCs w:val="20"/>
        </w:rPr>
        <w:t xml:space="preserve">Lo </w:t>
      </w:r>
      <w:r w:rsidRPr="00A560F2">
        <w:rPr>
          <w:rFonts w:ascii="Century Gothic" w:hAnsi="Century Gothic" w:cs="Century Gothic"/>
          <w:b/>
          <w:bCs/>
          <w:sz w:val="20"/>
          <w:szCs w:val="20"/>
        </w:rPr>
        <w:t xml:space="preserve">pneumococco </w:t>
      </w:r>
      <w:r w:rsidRPr="00A560F2">
        <w:rPr>
          <w:rFonts w:ascii="Century Gothic" w:hAnsi="Century Gothic" w:cs="Century Gothic"/>
          <w:sz w:val="20"/>
          <w:szCs w:val="20"/>
        </w:rPr>
        <w:t>è un batterio responsabile di infezioni che colpiscono soprattutto i bambini nei primi anni di vita e gli anziani. Alcune condizioni espongono a maggior rischio di infezione: difetti del sistema immunitario, malattie renali, del fegato, del cuore, dei polmoni, del sangue, diabete, prematurità.</w:t>
      </w:r>
    </w:p>
    <w:p w14:paraId="6FE2849E" w14:textId="77777777" w:rsidR="00AC4ED7" w:rsidRPr="00A560F2" w:rsidRDefault="00AC4ED7" w:rsidP="00AC4ED7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560F2">
        <w:rPr>
          <w:rFonts w:ascii="Century Gothic" w:hAnsi="Century Gothic" w:cs="Century Gothic"/>
          <w:sz w:val="20"/>
          <w:szCs w:val="20"/>
        </w:rPr>
        <w:t>Le infezioni causate dallo pneumococco colpiscono frequentemente l’orecchio e le prime vie respiratorie causando (soprattutto in età infantile). Tuttavia, soprattutto nelle categorie a rischio, può essere causa di forme di infezione più gravi (invasive) quali polmonite, meningite e sepsi (infezione diffusa a tutto il corpo) che possono portare anche alla morte.</w:t>
      </w:r>
    </w:p>
    <w:p w14:paraId="1EF614D2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Quali sono le caratteristiche del vaccino?</w:t>
      </w:r>
    </w:p>
    <w:p w14:paraId="61897635" w14:textId="10988510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Esistono tre tipi di vaccino anti-</w:t>
      </w:r>
      <w:r w:rsidR="00AC4ED7" w:rsidRPr="00A560F2">
        <w:rPr>
          <w:rFonts w:ascii="Century Gothic" w:hAnsi="Century Gothic"/>
          <w:color w:val="auto"/>
          <w:sz w:val="20"/>
          <w:szCs w:val="20"/>
        </w:rPr>
        <w:t>pn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>e</w:t>
      </w:r>
      <w:r w:rsidR="00AC4ED7" w:rsidRPr="00A560F2">
        <w:rPr>
          <w:rFonts w:ascii="Century Gothic" w:hAnsi="Century Gothic"/>
          <w:color w:val="auto"/>
          <w:sz w:val="20"/>
          <w:szCs w:val="20"/>
        </w:rPr>
        <w:t>um</w:t>
      </w:r>
      <w:r w:rsidRPr="00A560F2">
        <w:rPr>
          <w:rFonts w:ascii="Century Gothic" w:hAnsi="Century Gothic"/>
          <w:color w:val="auto"/>
          <w:sz w:val="20"/>
          <w:szCs w:val="20"/>
        </w:rPr>
        <w:t>ococco:</w:t>
      </w:r>
    </w:p>
    <w:p w14:paraId="31F039AF" w14:textId="75F5308B" w:rsidR="00554A6E" w:rsidRPr="00A560F2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il vaccino coniugato </w:t>
      </w:r>
      <w:r w:rsidR="00AC4ED7" w:rsidRPr="00A560F2">
        <w:rPr>
          <w:rFonts w:ascii="Century Gothic" w:hAnsi="Century Gothic"/>
          <w:color w:val="auto"/>
          <w:sz w:val="20"/>
          <w:szCs w:val="20"/>
        </w:rPr>
        <w:t>a 15 ceppi</w:t>
      </w:r>
    </w:p>
    <w:p w14:paraId="54CB8024" w14:textId="7F5138EE" w:rsidR="00554A6E" w:rsidRPr="00A560F2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il vaccino coniugato </w:t>
      </w:r>
      <w:r w:rsidR="00AC4ED7" w:rsidRPr="00A560F2">
        <w:rPr>
          <w:rFonts w:ascii="Century Gothic" w:hAnsi="Century Gothic"/>
          <w:color w:val="auto"/>
          <w:sz w:val="20"/>
          <w:szCs w:val="20"/>
        </w:rPr>
        <w:t>a 20 ceppi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 </w:t>
      </w:r>
    </w:p>
    <w:p w14:paraId="075C7BF2" w14:textId="67CA4F66" w:rsidR="00150958" w:rsidRPr="00A560F2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il vaccino </w:t>
      </w:r>
      <w:r w:rsidR="00AC4ED7" w:rsidRPr="00A560F2">
        <w:rPr>
          <w:rFonts w:ascii="Century Gothic" w:hAnsi="Century Gothic"/>
          <w:color w:val="auto"/>
          <w:sz w:val="20"/>
          <w:szCs w:val="20"/>
        </w:rPr>
        <w:t>polisaccaridico a 23 ceppi</w:t>
      </w:r>
    </w:p>
    <w:p w14:paraId="7A270FDF" w14:textId="1725EF51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Tutt</w:t>
      </w:r>
      <w:r w:rsidR="00620FF6" w:rsidRPr="00A560F2">
        <w:rPr>
          <w:rFonts w:ascii="Century Gothic" w:hAnsi="Century Gothic"/>
          <w:color w:val="auto"/>
          <w:sz w:val="20"/>
          <w:szCs w:val="20"/>
        </w:rPr>
        <w:t xml:space="preserve">i e tre i tipi 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di vaccino sono inattivati e </w:t>
      </w: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non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 contengono agenti patogeni che poss</w:t>
      </w:r>
      <w:r w:rsidR="001C7557" w:rsidRPr="00A560F2">
        <w:rPr>
          <w:rFonts w:ascii="Century Gothic" w:hAnsi="Century Gothic"/>
          <w:color w:val="auto"/>
          <w:sz w:val="20"/>
          <w:szCs w:val="20"/>
        </w:rPr>
        <w:t>a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no trasmettere la malattia. </w:t>
      </w:r>
    </w:p>
    <w:p w14:paraId="4798DA3E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Come si somministra?</w:t>
      </w:r>
    </w:p>
    <w:p w14:paraId="4735E486" w14:textId="0A3229C6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I tre vaccini disponibili vengono somministrati con iniezioni intramuscolo, nel muscolo anterolaterale della coscia (</w:t>
      </w:r>
      <w:r w:rsidR="00620FF6" w:rsidRPr="00A560F2">
        <w:rPr>
          <w:rFonts w:ascii="Century Gothic" w:hAnsi="Century Gothic"/>
          <w:color w:val="auto"/>
          <w:sz w:val="20"/>
          <w:szCs w:val="20"/>
        </w:rPr>
        <w:t>età tra 2 e 12 mesi</w:t>
      </w:r>
      <w:r w:rsidRPr="00A560F2">
        <w:rPr>
          <w:rFonts w:ascii="Century Gothic" w:hAnsi="Century Gothic"/>
          <w:color w:val="auto"/>
          <w:sz w:val="20"/>
          <w:szCs w:val="20"/>
        </w:rPr>
        <w:t>) e nel deltoide (</w:t>
      </w:r>
      <w:r w:rsidR="00620FF6" w:rsidRPr="00A560F2">
        <w:rPr>
          <w:rFonts w:ascii="Century Gothic" w:hAnsi="Century Gothic"/>
          <w:color w:val="auto"/>
          <w:sz w:val="20"/>
          <w:szCs w:val="20"/>
        </w:rPr>
        <w:t xml:space="preserve">età 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&gt; </w:t>
      </w:r>
      <w:r w:rsidR="00620FF6" w:rsidRPr="00A560F2">
        <w:rPr>
          <w:rFonts w:ascii="Century Gothic" w:hAnsi="Century Gothic"/>
          <w:color w:val="auto"/>
          <w:sz w:val="20"/>
          <w:szCs w:val="20"/>
        </w:rPr>
        <w:t>12 mesi</w:t>
      </w:r>
      <w:r w:rsidRPr="00A560F2">
        <w:rPr>
          <w:rFonts w:ascii="Century Gothic" w:hAnsi="Century Gothic"/>
          <w:color w:val="auto"/>
          <w:sz w:val="20"/>
          <w:szCs w:val="20"/>
        </w:rPr>
        <w:t>).</w:t>
      </w:r>
    </w:p>
    <w:p w14:paraId="55DD9233" w14:textId="1ACB4FB6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Il vaccino anti 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>pneumococco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A560F2">
        <w:rPr>
          <w:rFonts w:ascii="Century Gothic" w:hAnsi="Century Gothic"/>
          <w:color w:val="auto"/>
          <w:sz w:val="20"/>
          <w:szCs w:val="20"/>
        </w:rPr>
        <w:t>può essere somministrato in associazione con altri vaccini in coerenza col Piano Nazionale Prevenzione Vaccinale e le evidenze scientifiche.</w:t>
      </w:r>
    </w:p>
    <w:p w14:paraId="303EA12B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Per chi è indicata questa vaccinazione?</w:t>
      </w:r>
    </w:p>
    <w:p w14:paraId="5790D878" w14:textId="77777777" w:rsidR="00554A6E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Modalità di offerta previste in Regione Lombardia:</w:t>
      </w:r>
    </w:p>
    <w:p w14:paraId="120594D5" w14:textId="6ADC17CB" w:rsidR="00554A6E" w:rsidRPr="00A560F2" w:rsidRDefault="00634848" w:rsidP="00554A6E">
      <w:pPr>
        <w:pStyle w:val="Paragrafoelenco"/>
        <w:numPr>
          <w:ilvl w:val="0"/>
          <w:numId w:val="4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Anti 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>pneumococco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 xml:space="preserve"> a 15 ceppi: </w:t>
      </w:r>
      <w:r w:rsidRPr="00A560F2">
        <w:rPr>
          <w:rFonts w:ascii="Century Gothic" w:hAnsi="Century Gothic"/>
          <w:color w:val="auto"/>
          <w:sz w:val="20"/>
          <w:szCs w:val="20"/>
        </w:rPr>
        <w:t>viene offerto attivamente a tutti i nuovi nati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 xml:space="preserve">. </w:t>
      </w:r>
      <w:r w:rsidR="007221DD" w:rsidRPr="00A560F2">
        <w:rPr>
          <w:rFonts w:ascii="Century Gothic" w:hAnsi="Century Gothic" w:cs="Century Gothic"/>
          <w:sz w:val="20"/>
          <w:szCs w:val="20"/>
        </w:rPr>
        <w:t>S</w:t>
      </w:r>
      <w:r w:rsidR="007221DD" w:rsidRPr="00A560F2">
        <w:rPr>
          <w:rFonts w:ascii="Century Gothic" w:hAnsi="Century Gothic" w:cs="Century Gothic"/>
          <w:sz w:val="20"/>
          <w:szCs w:val="20"/>
        </w:rPr>
        <w:t>olitamente nella stessa seduta dell'esavalente.</w:t>
      </w:r>
    </w:p>
    <w:p w14:paraId="4E2FF23B" w14:textId="6EE5EA16" w:rsidR="00554A6E" w:rsidRPr="00A560F2" w:rsidRDefault="00634848" w:rsidP="00554A6E">
      <w:pPr>
        <w:pStyle w:val="Paragrafoelenco"/>
        <w:numPr>
          <w:ilvl w:val="0"/>
          <w:numId w:val="4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Anti 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 xml:space="preserve">pneumococco 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 xml:space="preserve">a 20 e 23 ceppi: è </w:t>
      </w:r>
      <w:r w:rsidR="007221DD" w:rsidRPr="00A560F2">
        <w:rPr>
          <w:rFonts w:ascii="Century Gothic" w:hAnsi="Century Gothic"/>
          <w:sz w:val="20"/>
          <w:szCs w:val="20"/>
        </w:rPr>
        <w:t xml:space="preserve">raccomandata </w:t>
      </w:r>
      <w:r w:rsidR="007221DD" w:rsidRPr="00A560F2">
        <w:rPr>
          <w:rFonts w:ascii="Century Gothic" w:hAnsi="Century Gothic"/>
          <w:sz w:val="20"/>
          <w:szCs w:val="20"/>
        </w:rPr>
        <w:t>ai soggetti nati nel 1952 e negli anni successivi fino all’anno di compimento del 65esimo compleanno</w:t>
      </w:r>
      <w:r w:rsidR="007221DD" w:rsidRPr="00A560F2">
        <w:rPr>
          <w:rFonts w:ascii="Century Gothic" w:hAnsi="Century Gothic"/>
          <w:sz w:val="20"/>
          <w:szCs w:val="20"/>
        </w:rPr>
        <w:t xml:space="preserve"> ed ai </w:t>
      </w:r>
      <w:r w:rsidR="007221DD" w:rsidRPr="00A560F2">
        <w:rPr>
          <w:rFonts w:ascii="Century Gothic" w:hAnsi="Century Gothic"/>
          <w:sz w:val="20"/>
          <w:szCs w:val="20"/>
        </w:rPr>
        <w:t>soggetti con aumentato rischio di malattia invasiva da pneumococco</w:t>
      </w:r>
      <w:r w:rsidR="007221DD" w:rsidRPr="00A560F2">
        <w:rPr>
          <w:rFonts w:ascii="Century Gothic" w:hAnsi="Century Gothic"/>
          <w:sz w:val="20"/>
          <w:szCs w:val="20"/>
        </w:rPr>
        <w:t xml:space="preserve"> </w:t>
      </w:r>
      <w:r w:rsidR="007221DD" w:rsidRPr="00A560F2">
        <w:rPr>
          <w:rFonts w:ascii="Century Gothic" w:hAnsi="Century Gothic"/>
          <w:color w:val="auto"/>
          <w:sz w:val="20"/>
          <w:szCs w:val="20"/>
        </w:rPr>
        <w:t>in coerenza col Piano Nazionale Prevenzione Vaccinale e le evidenze scientifiche</w:t>
      </w:r>
      <w:r w:rsidR="00A560F2" w:rsidRPr="00A560F2">
        <w:rPr>
          <w:rFonts w:ascii="Century Gothic" w:hAnsi="Century Gothic"/>
          <w:sz w:val="20"/>
          <w:szCs w:val="20"/>
        </w:rPr>
        <w:t>:</w:t>
      </w:r>
    </w:p>
    <w:p w14:paraId="642379B5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spellStart"/>
      <w:r w:rsidRPr="00A560F2">
        <w:rPr>
          <w:rFonts w:ascii="Century Gothic" w:hAnsi="Century Gothic" w:cs="Arial"/>
          <w:sz w:val="20"/>
          <w:szCs w:val="20"/>
        </w:rPr>
        <w:t>asplenia</w:t>
      </w:r>
      <w:proofErr w:type="spellEnd"/>
    </w:p>
    <w:p w14:paraId="40010020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spellStart"/>
      <w:r w:rsidRPr="00A560F2">
        <w:rPr>
          <w:rFonts w:ascii="Century Gothic" w:hAnsi="Century Gothic" w:cs="Arial"/>
          <w:sz w:val="20"/>
          <w:szCs w:val="20"/>
        </w:rPr>
        <w:t>immunodeficit</w:t>
      </w:r>
      <w:proofErr w:type="spellEnd"/>
    </w:p>
    <w:p w14:paraId="016EB0A2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Deficit complemento</w:t>
      </w:r>
    </w:p>
    <w:p w14:paraId="0E7AE4A3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HIV</w:t>
      </w:r>
    </w:p>
    <w:p w14:paraId="1BA1F405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 xml:space="preserve">oncologici </w:t>
      </w:r>
    </w:p>
    <w:p w14:paraId="2F1B28A4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trapiantati</w:t>
      </w:r>
    </w:p>
    <w:p w14:paraId="3FF2DBFB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 xml:space="preserve">perdite di liquor </w:t>
      </w:r>
    </w:p>
    <w:p w14:paraId="62EDF772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portatori di impianto cocleare</w:t>
      </w:r>
    </w:p>
    <w:p w14:paraId="5E3ACF0B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emoglobinopatie e talassemie</w:t>
      </w:r>
    </w:p>
    <w:p w14:paraId="1125B1CA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Cardiopatie croniche</w:t>
      </w:r>
    </w:p>
    <w:p w14:paraId="6E224F39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Broncopneumopatie croniche</w:t>
      </w:r>
    </w:p>
    <w:p w14:paraId="35462A6E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Diabete Mellito</w:t>
      </w:r>
    </w:p>
    <w:p w14:paraId="5FD68704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 xml:space="preserve">Epatopatie croniche </w:t>
      </w:r>
    </w:p>
    <w:p w14:paraId="4406821D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Alcoolismo cronico</w:t>
      </w:r>
    </w:p>
    <w:p w14:paraId="48BA6E52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lastRenderedPageBreak/>
        <w:t>Insufficienza renale cronica</w:t>
      </w:r>
    </w:p>
    <w:p w14:paraId="33272D2F" w14:textId="77777777" w:rsidR="00A560F2" w:rsidRPr="00A560F2" w:rsidRDefault="00A560F2" w:rsidP="00A560F2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Insufficienza surrenalica</w:t>
      </w:r>
    </w:p>
    <w:p w14:paraId="391BB034" w14:textId="00FD4569" w:rsidR="00150958" w:rsidRPr="00A560F2" w:rsidRDefault="00A560F2" w:rsidP="00A560F2">
      <w:pPr>
        <w:pStyle w:val="Paragrafoelenco"/>
        <w:numPr>
          <w:ilvl w:val="0"/>
          <w:numId w:val="9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 w:cs="Arial"/>
          <w:sz w:val="20"/>
          <w:szCs w:val="20"/>
        </w:rPr>
        <w:t>Sindrome nefrosica</w:t>
      </w:r>
      <w:r w:rsidR="00554A6E" w:rsidRPr="00A560F2">
        <w:rPr>
          <w:rFonts w:ascii="Century Gothic" w:hAnsi="Century Gothic"/>
          <w:color w:val="auto"/>
          <w:sz w:val="20"/>
          <w:szCs w:val="20"/>
        </w:rPr>
        <w:t>.</w:t>
      </w:r>
    </w:p>
    <w:p w14:paraId="18BF0658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In quali casi si deve rinviare la vaccinazione?</w:t>
      </w:r>
    </w:p>
    <w:p w14:paraId="73630DD8" w14:textId="4DBDA730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La somministrazione del vaccino deve essere rinviata solo in caso di uno stato febbrile acuto grave</w:t>
      </w:r>
      <w:r w:rsidR="00CA6507" w:rsidRPr="00A560F2">
        <w:rPr>
          <w:rFonts w:ascii="Century Gothic" w:hAnsi="Century Gothic"/>
          <w:color w:val="auto"/>
          <w:sz w:val="20"/>
          <w:szCs w:val="20"/>
        </w:rPr>
        <w:t xml:space="preserve"> o disturbi generali giudicati importanti dal medico</w:t>
      </w:r>
      <w:r w:rsidRPr="00A560F2">
        <w:rPr>
          <w:rFonts w:ascii="Century Gothic" w:hAnsi="Century Gothic"/>
          <w:color w:val="auto"/>
          <w:sz w:val="20"/>
          <w:szCs w:val="20"/>
        </w:rPr>
        <w:t>. La presenza di infezioni lievi non comporta il ritardo della vaccinazione.</w:t>
      </w:r>
    </w:p>
    <w:p w14:paraId="3A171A4B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In quali casi non si può fare la vaccinazione?</w:t>
      </w:r>
    </w:p>
    <w:p w14:paraId="23588EC8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La vaccinazione è controindicata nei soggetti che hanno manifestato gravi reazioni allergiche (shock anafilattico) al vaccino o a uno dei suoi componenti.</w:t>
      </w:r>
    </w:p>
    <w:p w14:paraId="176A58D7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Quali sono i possibili effetti indesiderati?</w:t>
      </w:r>
    </w:p>
    <w:p w14:paraId="65DEDCD6" w14:textId="5CFF41A5" w:rsidR="00150958" w:rsidRPr="00A560F2" w:rsidRDefault="00634848" w:rsidP="00A560F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Generalmente si manifestano entro 24-48 ore dall’avvenuta vaccinazione. Si tratta di reazioni </w:t>
      </w:r>
      <w:r w:rsidR="00A560F2" w:rsidRPr="00A560F2">
        <w:rPr>
          <w:rFonts w:ascii="Century Gothic" w:hAnsi="Century Gothic"/>
          <w:color w:val="auto"/>
          <w:sz w:val="20"/>
          <w:szCs w:val="20"/>
        </w:rPr>
        <w:t xml:space="preserve">generalmente </w:t>
      </w:r>
      <w:r w:rsidRPr="00A560F2">
        <w:rPr>
          <w:rFonts w:ascii="Century Gothic" w:hAnsi="Century Gothic"/>
          <w:color w:val="auto"/>
          <w:sz w:val="20"/>
          <w:szCs w:val="20"/>
        </w:rPr>
        <w:t>di lieve entità che si risolvono nel giro di qualche giorno</w:t>
      </w:r>
      <w:r w:rsidR="00A560F2" w:rsidRPr="00A560F2">
        <w:rPr>
          <w:rFonts w:ascii="Century Gothic" w:hAnsi="Century Gothic"/>
          <w:color w:val="auto"/>
          <w:sz w:val="20"/>
          <w:szCs w:val="20"/>
        </w:rPr>
        <w:t xml:space="preserve">. </w:t>
      </w:r>
      <w:r w:rsidRPr="00A560F2">
        <w:rPr>
          <w:rFonts w:ascii="Century Gothic" w:hAnsi="Century Gothic"/>
          <w:color w:val="auto"/>
          <w:sz w:val="20"/>
          <w:szCs w:val="20"/>
        </w:rPr>
        <w:t xml:space="preserve"> </w:t>
      </w:r>
      <w:r w:rsidR="00A560F2" w:rsidRPr="00A560F2">
        <w:rPr>
          <w:rFonts w:ascii="Century Gothic" w:hAnsi="Century Gothic" w:cs="Century Gothic"/>
          <w:sz w:val="20"/>
          <w:szCs w:val="20"/>
        </w:rPr>
        <w:t xml:space="preserve">Possono verificarsi </w:t>
      </w:r>
      <w:r w:rsidR="00A560F2" w:rsidRPr="00A560F2">
        <w:rPr>
          <w:rFonts w:ascii="Century Gothic" w:hAnsi="Century Gothic"/>
          <w:sz w:val="20"/>
          <w:szCs w:val="20"/>
        </w:rPr>
        <w:t>cefalea, dolore articolare, dolore muscolare, stanchezza, febbre, gonfiore/prurito/orticaria e arrossamento in sede di iniezione, diarrea, nausea, vomito, eruzione cutanea, dermatite, angioedema, linfoadenopatia, brividi, eritema multiforme, appetito ridotto, limitazione del movimento del braccio, disturbi neurologici.</w:t>
      </w:r>
    </w:p>
    <w:p w14:paraId="5F5B0C23" w14:textId="77777777" w:rsidR="00A560F2" w:rsidRPr="00A560F2" w:rsidRDefault="00A560F2" w:rsidP="00A560F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sz w:val="20"/>
          <w:szCs w:val="20"/>
        </w:rPr>
      </w:pPr>
      <w:r w:rsidRPr="00A560F2">
        <w:rPr>
          <w:rFonts w:ascii="Century Gothic" w:hAnsi="Century Gothic" w:cs="Century Gothic"/>
          <w:sz w:val="20"/>
          <w:szCs w:val="20"/>
        </w:rPr>
        <w:t xml:space="preserve">Quando la immunizzazione primaria viene effettuata in neonati molto pretermine (nati a 28 settimane di gestazione o prima), in particolare con una precedente storia di insufficienza respiratoria, deve essere considerato il rischio potenziale di insorgenza di apnea e la necessità di monitorare la respirazione per le 48-72 ore successive alla vaccinazione. </w:t>
      </w:r>
      <w:proofErr w:type="spellStart"/>
      <w:r w:rsidRPr="00A560F2">
        <w:rPr>
          <w:rFonts w:ascii="Century Gothic" w:hAnsi="Century Gothic" w:cs="Century Gothic"/>
          <w:sz w:val="20"/>
          <w:szCs w:val="20"/>
        </w:rPr>
        <w:t>Poichè</w:t>
      </w:r>
      <w:proofErr w:type="spellEnd"/>
      <w:r w:rsidRPr="00A560F2">
        <w:rPr>
          <w:rFonts w:ascii="Century Gothic" w:hAnsi="Century Gothic" w:cs="Century Gothic"/>
          <w:sz w:val="20"/>
          <w:szCs w:val="20"/>
        </w:rPr>
        <w:t xml:space="preserve"> il beneficio della vaccinazione in questi neonati è elevato, la vaccinazione non deve essere sospesa o rimandata</w:t>
      </w:r>
    </w:p>
    <w:p w14:paraId="31BA9E63" w14:textId="77777777" w:rsidR="00A560F2" w:rsidRPr="00A560F2" w:rsidRDefault="00A560F2" w:rsidP="00A560F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419AE97" w14:textId="77777777" w:rsidR="00620FF6" w:rsidRPr="00A560F2" w:rsidRDefault="00620FF6" w:rsidP="00620FF6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Come per tutti i farmaci, non è possibile escludere l’eventualità di reazioni allergiche anche gravi come lo shock anafilattico.</w:t>
      </w:r>
    </w:p>
    <w:p w14:paraId="31CAE871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A560F2">
        <w:rPr>
          <w:rFonts w:ascii="Century Gothic" w:hAnsi="Century Gothic"/>
          <w:b/>
          <w:bCs/>
          <w:color w:val="auto"/>
          <w:sz w:val="20"/>
          <w:szCs w:val="20"/>
        </w:rPr>
        <w:t>Cosa fare dopo la vaccinazione?</w:t>
      </w:r>
    </w:p>
    <w:p w14:paraId="504403B4" w14:textId="4F69A0A1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 xml:space="preserve">Rispettare un tempo di osservazione post-vaccinale di </w:t>
      </w:r>
      <w:r w:rsidR="00A560F2" w:rsidRPr="00A560F2">
        <w:rPr>
          <w:rFonts w:ascii="Century Gothic" w:hAnsi="Century Gothic"/>
          <w:color w:val="auto"/>
          <w:sz w:val="20"/>
          <w:szCs w:val="20"/>
        </w:rPr>
        <w:t xml:space="preserve">almeno </w:t>
      </w:r>
      <w:r w:rsidRPr="00A560F2">
        <w:rPr>
          <w:rFonts w:ascii="Century Gothic" w:hAnsi="Century Gothic"/>
          <w:color w:val="auto"/>
          <w:sz w:val="20"/>
          <w:szCs w:val="20"/>
        </w:rPr>
        <w:t>quindici minuti.</w:t>
      </w:r>
    </w:p>
    <w:p w14:paraId="5C4EE343" w14:textId="77777777" w:rsidR="00150958" w:rsidRPr="00A560F2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A560F2">
        <w:rPr>
          <w:rFonts w:ascii="Century Gothic" w:hAnsi="Century Gothic"/>
          <w:color w:val="auto"/>
          <w:sz w:val="20"/>
          <w:szCs w:val="20"/>
        </w:rPr>
        <w:t>A domicilio in caso di dolore nella sede di iniezione e/o di febbre può essere somministrato un antidolorifico/antipiretico, il cui dosaggio dipende dall’età e dal peso del bambino/adulto; in caso di gonfiore/rossore in sede di iniezione si raccomanda di non massaggiare la zona e di applicare un panno imbevuto di acqua fresca.</w:t>
      </w:r>
    </w:p>
    <w:p w14:paraId="59715722" w14:textId="77777777" w:rsidR="00150958" w:rsidRPr="00A560F2" w:rsidRDefault="00150958">
      <w:pPr>
        <w:jc w:val="both"/>
        <w:rPr>
          <w:sz w:val="20"/>
          <w:szCs w:val="20"/>
        </w:rPr>
      </w:pPr>
    </w:p>
    <w:sectPr w:rsidR="00150958" w:rsidRPr="00A560F2" w:rsidSect="00287AE7">
      <w:headerReference w:type="default" r:id="rId8"/>
      <w:footerReference w:type="default" r:id="rId9"/>
      <w:pgSz w:w="11906" w:h="16838"/>
      <w:pgMar w:top="1440" w:right="1440" w:bottom="1440" w:left="1440" w:header="0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2A10C" w14:textId="77777777" w:rsidR="00632E46" w:rsidRDefault="00632E46" w:rsidP="00287AE7">
      <w:pPr>
        <w:spacing w:after="0" w:line="240" w:lineRule="auto"/>
      </w:pPr>
      <w:r>
        <w:separator/>
      </w:r>
    </w:p>
  </w:endnote>
  <w:endnote w:type="continuationSeparator" w:id="0">
    <w:p w14:paraId="4C771355" w14:textId="77777777" w:rsidR="00632E46" w:rsidRDefault="00632E46" w:rsidP="0028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01ACD" w14:textId="5E67AFD1" w:rsidR="00287AE7" w:rsidRPr="00C03C3E" w:rsidRDefault="00C03C3E" w:rsidP="00C03C3E">
    <w:pPr>
      <w:pStyle w:val="Pidipagina"/>
      <w:jc w:val="center"/>
    </w:pPr>
    <w:r w:rsidRPr="007756D3">
      <w:rPr>
        <w:noProof/>
      </w:rPr>
      <w:drawing>
        <wp:inline distT="0" distB="0" distL="0" distR="0" wp14:anchorId="4AD0C2E3" wp14:editId="45D14FC3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F77FE" w14:textId="77777777" w:rsidR="00632E46" w:rsidRDefault="00632E46" w:rsidP="00287AE7">
      <w:pPr>
        <w:spacing w:after="0" w:line="240" w:lineRule="auto"/>
      </w:pPr>
      <w:r>
        <w:separator/>
      </w:r>
    </w:p>
  </w:footnote>
  <w:footnote w:type="continuationSeparator" w:id="0">
    <w:p w14:paraId="0CC1B64C" w14:textId="77777777" w:rsidR="00632E46" w:rsidRDefault="00632E46" w:rsidP="00287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525D5" w14:textId="5B937DED" w:rsidR="00287AE7" w:rsidRDefault="00287AE7">
    <w:pPr>
      <w:pStyle w:val="Intestazione"/>
    </w:pPr>
  </w:p>
  <w:p w14:paraId="61331515" w14:textId="77777777" w:rsidR="00287AE7" w:rsidRDefault="00287AE7" w:rsidP="00287AE7">
    <w:pPr>
      <w:pStyle w:val="Intestazione"/>
      <w:jc w:val="center"/>
    </w:pPr>
  </w:p>
  <w:p w14:paraId="4452DD57" w14:textId="6F6718E6" w:rsidR="00287AE7" w:rsidRDefault="00287AE7" w:rsidP="00287AE7">
    <w:pPr>
      <w:pStyle w:val="Intestazione"/>
      <w:jc w:val="center"/>
    </w:pPr>
    <w:r>
      <w:rPr>
        <w:noProof/>
      </w:rPr>
      <w:drawing>
        <wp:inline distT="0" distB="0" distL="0" distR="0" wp14:anchorId="38D0818B" wp14:editId="320684AB">
          <wp:extent cx="1206500" cy="33371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322" cy="340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03282"/>
    <w:multiLevelType w:val="hybridMultilevel"/>
    <w:tmpl w:val="DBEC7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503A8"/>
    <w:multiLevelType w:val="hybridMultilevel"/>
    <w:tmpl w:val="A538E53E"/>
    <w:lvl w:ilvl="0" w:tplc="CB96B444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FB7054"/>
    <w:multiLevelType w:val="multilevel"/>
    <w:tmpl w:val="2794DC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37C77ED"/>
    <w:multiLevelType w:val="hybridMultilevel"/>
    <w:tmpl w:val="0EFC21AC"/>
    <w:lvl w:ilvl="0" w:tplc="0410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2DBA05FF"/>
    <w:multiLevelType w:val="hybridMultilevel"/>
    <w:tmpl w:val="6A861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00CBC">
      <w:numFmt w:val="bullet"/>
      <w:lvlText w:val="-"/>
      <w:lvlJc w:val="left"/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D3A6B"/>
    <w:multiLevelType w:val="hybridMultilevel"/>
    <w:tmpl w:val="D644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37864"/>
    <w:multiLevelType w:val="multilevel"/>
    <w:tmpl w:val="AC360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770B0E"/>
    <w:multiLevelType w:val="hybridMultilevel"/>
    <w:tmpl w:val="B43AB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95B8B"/>
    <w:multiLevelType w:val="hybridMultilevel"/>
    <w:tmpl w:val="E9C2752E"/>
    <w:lvl w:ilvl="0" w:tplc="7686667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30382"/>
    <w:multiLevelType w:val="hybridMultilevel"/>
    <w:tmpl w:val="18C0F86C"/>
    <w:lvl w:ilvl="0" w:tplc="CB96B444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4394683">
    <w:abstractNumId w:val="6"/>
  </w:num>
  <w:num w:numId="2" w16cid:durableId="750933871">
    <w:abstractNumId w:val="2"/>
  </w:num>
  <w:num w:numId="3" w16cid:durableId="842284834">
    <w:abstractNumId w:val="5"/>
  </w:num>
  <w:num w:numId="4" w16cid:durableId="440223117">
    <w:abstractNumId w:val="0"/>
  </w:num>
  <w:num w:numId="5" w16cid:durableId="502940813">
    <w:abstractNumId w:val="3"/>
  </w:num>
  <w:num w:numId="6" w16cid:durableId="104082993">
    <w:abstractNumId w:val="1"/>
  </w:num>
  <w:num w:numId="7" w16cid:durableId="158161997">
    <w:abstractNumId w:val="8"/>
  </w:num>
  <w:num w:numId="8" w16cid:durableId="1166752497">
    <w:abstractNumId w:val="4"/>
  </w:num>
  <w:num w:numId="9" w16cid:durableId="1270818531">
    <w:abstractNumId w:val="9"/>
  </w:num>
  <w:num w:numId="10" w16cid:durableId="19710152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58"/>
    <w:rsid w:val="00080782"/>
    <w:rsid w:val="00150958"/>
    <w:rsid w:val="001738DB"/>
    <w:rsid w:val="001C7557"/>
    <w:rsid w:val="00287AE7"/>
    <w:rsid w:val="003963F7"/>
    <w:rsid w:val="00554A6E"/>
    <w:rsid w:val="005A11B3"/>
    <w:rsid w:val="00620FF6"/>
    <w:rsid w:val="00632E46"/>
    <w:rsid w:val="00634848"/>
    <w:rsid w:val="0070789A"/>
    <w:rsid w:val="007221DD"/>
    <w:rsid w:val="00765CAC"/>
    <w:rsid w:val="008C5E4D"/>
    <w:rsid w:val="009E3A01"/>
    <w:rsid w:val="00A07FA1"/>
    <w:rsid w:val="00A36755"/>
    <w:rsid w:val="00A560F2"/>
    <w:rsid w:val="00AC4ED7"/>
    <w:rsid w:val="00BF49D3"/>
    <w:rsid w:val="00C03C3E"/>
    <w:rsid w:val="00CA6507"/>
    <w:rsid w:val="00E2608F"/>
    <w:rsid w:val="00EB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C3E5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Enfasigrassetto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  <w:sz w:val="24"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1"/>
      </w:pBdr>
      <w:spacing w:after="160" w:line="259" w:lineRule="auto"/>
      <w:jc w:val="center"/>
    </w:pPr>
    <w:rPr>
      <w:rFonts w:ascii="Arial" w:eastAsia="Arial" w:hAnsi="Arial" w:cs="Courier New"/>
      <w:vanish/>
      <w:color w:val="00000A"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1"/>
      </w:pBdr>
      <w:spacing w:after="160" w:line="259" w:lineRule="auto"/>
      <w:jc w:val="center"/>
    </w:pPr>
    <w:rPr>
      <w:rFonts w:ascii="Arial" w:eastAsia="Arial" w:hAnsi="Arial" w:cs="Courier New"/>
      <w:vanish/>
      <w:color w:val="00000A"/>
      <w:sz w:val="16"/>
      <w:szCs w:val="24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54A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7A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AE7"/>
    <w:rPr>
      <w:color w:val="00000A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287A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AE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EF073-98E0-4F76-B694-095474B0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Sudwaric Sharma</dc:creator>
  <dc:description/>
  <cp:lastModifiedBy>Laiolo Antonella</cp:lastModifiedBy>
  <cp:revision>3</cp:revision>
  <cp:lastPrinted>2022-05-04T13:51:00Z</cp:lastPrinted>
  <dcterms:created xsi:type="dcterms:W3CDTF">2024-08-20T09:49:00Z</dcterms:created>
  <dcterms:modified xsi:type="dcterms:W3CDTF">2024-08-20T10:22:00Z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