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58381" w14:textId="5F7A93B9" w:rsidR="00C11291" w:rsidRPr="00D03CBE" w:rsidRDefault="00D03CBE" w:rsidP="00D03CBE">
      <w:pPr>
        <w:jc w:val="center"/>
        <w:rPr>
          <w:rFonts w:ascii="Century Gothic" w:hAnsi="Century Gothic"/>
          <w:b/>
          <w:bCs/>
          <w:sz w:val="24"/>
          <w:szCs w:val="24"/>
        </w:rPr>
      </w:pPr>
      <w:r w:rsidRPr="00D03CBE">
        <w:rPr>
          <w:rFonts w:ascii="Century Gothic" w:hAnsi="Century Gothic"/>
          <w:b/>
          <w:bCs/>
          <w:sz w:val="24"/>
          <w:szCs w:val="24"/>
        </w:rPr>
        <w:t>SCHEDA INFORMATIVA</w:t>
      </w:r>
      <w:r w:rsidR="00B6288E">
        <w:rPr>
          <w:rFonts w:ascii="Century Gothic" w:hAnsi="Century Gothic"/>
          <w:b/>
          <w:bCs/>
          <w:sz w:val="24"/>
          <w:szCs w:val="24"/>
        </w:rPr>
        <w:t xml:space="preserve">: </w:t>
      </w:r>
      <w:r w:rsidRPr="00D03CBE">
        <w:rPr>
          <w:rFonts w:ascii="Century Gothic" w:hAnsi="Century Gothic"/>
          <w:b/>
          <w:bCs/>
          <w:sz w:val="24"/>
          <w:szCs w:val="24"/>
        </w:rPr>
        <w:t xml:space="preserve">VACCINO </w:t>
      </w:r>
      <w:r w:rsidR="00574757" w:rsidRPr="00D03CBE">
        <w:rPr>
          <w:rFonts w:ascii="Century Gothic" w:hAnsi="Century Gothic"/>
          <w:b/>
          <w:bCs/>
          <w:sz w:val="24"/>
          <w:szCs w:val="24"/>
        </w:rPr>
        <w:t>EPATITE A</w:t>
      </w:r>
    </w:p>
    <w:p w14:paraId="3512E6E6" w14:textId="77777777" w:rsidR="00C11291" w:rsidRPr="00D03CBE" w:rsidRDefault="00574757" w:rsidP="00D03CBE">
      <w:pPr>
        <w:jc w:val="both"/>
        <w:rPr>
          <w:rFonts w:ascii="Century Gothic" w:hAnsi="Century Gothic"/>
          <w:b/>
          <w:bCs/>
          <w:sz w:val="20"/>
          <w:szCs w:val="20"/>
        </w:rPr>
      </w:pPr>
      <w:r w:rsidRPr="00D03CBE">
        <w:rPr>
          <w:rFonts w:ascii="Century Gothic" w:hAnsi="Century Gothic"/>
          <w:b/>
          <w:bCs/>
          <w:sz w:val="20"/>
          <w:szCs w:val="20"/>
        </w:rPr>
        <w:t>Quale malattia previene?</w:t>
      </w:r>
    </w:p>
    <w:p w14:paraId="4F83A123" w14:textId="37F247F0" w:rsidR="00C11291" w:rsidRPr="00D03CBE" w:rsidRDefault="00574757" w:rsidP="00D03CBE">
      <w:p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>L’epatite A è una malattia infettiva causata dal virus HAV (</w:t>
      </w:r>
      <w:proofErr w:type="spellStart"/>
      <w:r w:rsidRPr="00D03CBE">
        <w:rPr>
          <w:rFonts w:ascii="Century Gothic" w:hAnsi="Century Gothic"/>
          <w:sz w:val="20"/>
          <w:szCs w:val="20"/>
        </w:rPr>
        <w:t>Hepatitis</w:t>
      </w:r>
      <w:proofErr w:type="spellEnd"/>
      <w:r w:rsidRPr="00D03CBE">
        <w:rPr>
          <w:rFonts w:ascii="Century Gothic" w:hAnsi="Century Gothic"/>
          <w:sz w:val="20"/>
          <w:szCs w:val="20"/>
        </w:rPr>
        <w:t xml:space="preserve"> A Virus).</w:t>
      </w:r>
      <w:r w:rsidR="00D03CBE">
        <w:rPr>
          <w:rFonts w:ascii="Century Gothic" w:hAnsi="Century Gothic"/>
          <w:sz w:val="20"/>
          <w:szCs w:val="20"/>
        </w:rPr>
        <w:t xml:space="preserve"> </w:t>
      </w:r>
      <w:r w:rsidRPr="00D03CBE">
        <w:rPr>
          <w:rFonts w:ascii="Century Gothic" w:hAnsi="Century Gothic"/>
          <w:sz w:val="20"/>
          <w:szCs w:val="20"/>
        </w:rPr>
        <w:t>Il virus si trasmette per via oro-fecale, attraverso un contatto diretto con una persona infetta o per ingestione di alimenti (cibo e acqua) contaminati. Nelle zone con sistema fognario inadeguato, i possibili veicoli di infezioni sono:</w:t>
      </w:r>
      <w:r w:rsidR="00D03CBE">
        <w:rPr>
          <w:rFonts w:ascii="Century Gothic" w:hAnsi="Century Gothic"/>
          <w:sz w:val="20"/>
          <w:szCs w:val="20"/>
        </w:rPr>
        <w:t xml:space="preserve"> v</w:t>
      </w:r>
      <w:r w:rsidRPr="00D03CBE">
        <w:rPr>
          <w:rFonts w:ascii="Century Gothic" w:hAnsi="Century Gothic"/>
          <w:sz w:val="20"/>
          <w:szCs w:val="20"/>
        </w:rPr>
        <w:t>erdura, frutta o altri alimenti lavati con acqua contaminata dal virus</w:t>
      </w:r>
      <w:r w:rsidR="00D03CBE">
        <w:rPr>
          <w:rFonts w:ascii="Century Gothic" w:hAnsi="Century Gothic"/>
          <w:sz w:val="20"/>
          <w:szCs w:val="20"/>
        </w:rPr>
        <w:t>, f</w:t>
      </w:r>
      <w:r w:rsidRPr="00D03CBE">
        <w:rPr>
          <w:rFonts w:ascii="Century Gothic" w:hAnsi="Century Gothic"/>
          <w:sz w:val="20"/>
          <w:szCs w:val="20"/>
        </w:rPr>
        <w:t>rutti di mare, soprattutto se consumati crudi</w:t>
      </w:r>
      <w:r w:rsidR="00D03CBE">
        <w:rPr>
          <w:rFonts w:ascii="Century Gothic" w:hAnsi="Century Gothic"/>
          <w:sz w:val="20"/>
          <w:szCs w:val="20"/>
        </w:rPr>
        <w:t xml:space="preserve">. </w:t>
      </w:r>
      <w:r w:rsidRPr="00D03CBE">
        <w:rPr>
          <w:rFonts w:ascii="Century Gothic" w:hAnsi="Century Gothic"/>
          <w:sz w:val="20"/>
          <w:szCs w:val="20"/>
        </w:rPr>
        <w:t>Nelle donne in gravidanza l’epatite da HAV è stata associata ad un aumento dei casi di parto pretermine.</w:t>
      </w:r>
    </w:p>
    <w:p w14:paraId="07C98E4A" w14:textId="77777777" w:rsidR="00C11291" w:rsidRPr="00D03CBE" w:rsidRDefault="00574757" w:rsidP="00D03CBE">
      <w:p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>Dopo il contagio, il virus HAV raggiunge il fegato dove comincia a riprodursi per poi venire eliminato attraverso la bile nelle feci. I sintomi dell’epatite A si manifestano da 3 a 6 settimane dopo essere venuti in contatto con il virus.</w:t>
      </w:r>
    </w:p>
    <w:p w14:paraId="5A6466CD" w14:textId="2F587C65" w:rsidR="00C11291" w:rsidRPr="00D03CBE" w:rsidRDefault="00922DCB" w:rsidP="00D03CBE">
      <w:p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 xml:space="preserve">La malattia si manifesta con </w:t>
      </w:r>
      <w:r w:rsidR="00574757" w:rsidRPr="00D03CBE">
        <w:rPr>
          <w:rFonts w:ascii="Century Gothic" w:hAnsi="Century Gothic"/>
          <w:sz w:val="20"/>
          <w:szCs w:val="20"/>
        </w:rPr>
        <w:t>una fase iniziale caratterizzata da una serie di sintomi che possono far pensare ad una malattia di tipo influenzale come stanchezza, debolezza muscolare, inappetenza, diarrea, vomito, brividi e febbre alta.</w:t>
      </w:r>
    </w:p>
    <w:p w14:paraId="58C8AFF8" w14:textId="77777777" w:rsidR="00C11291" w:rsidRPr="00D03CBE" w:rsidRDefault="00574757" w:rsidP="00D03CBE">
      <w:p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>Successivamente compaiono urine scure e feci chiare, segni evidenti della malattia infettiva in corso; segue poi la fase itterica caratterizzata dalla colorazione gialla della pelle e dell’interno dell’occhio.</w:t>
      </w:r>
    </w:p>
    <w:p w14:paraId="5CE1EED5" w14:textId="7D77C11A" w:rsidR="00C11291" w:rsidRPr="00D03CBE" w:rsidRDefault="00574757" w:rsidP="00D03CBE">
      <w:p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>La guarigione è completa e la malattia non si cronicizza, inoltre l’individuo che ha contratto l’epatite A rimane immunizzato per sempre.</w:t>
      </w:r>
      <w:r w:rsidR="00922DCB" w:rsidRPr="00D03CBE">
        <w:rPr>
          <w:rFonts w:ascii="Century Gothic" w:hAnsi="Century Gothic"/>
          <w:sz w:val="20"/>
          <w:szCs w:val="20"/>
        </w:rPr>
        <w:t xml:space="preserve"> Raramente la malattia è grave e fulminante.</w:t>
      </w:r>
      <w:r w:rsidR="00D03CBE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Pr="00D03CBE">
        <w:rPr>
          <w:rFonts w:ascii="Century Gothic" w:hAnsi="Century Gothic"/>
          <w:sz w:val="20"/>
          <w:szCs w:val="20"/>
        </w:rPr>
        <w:t>E’</w:t>
      </w:r>
      <w:proofErr w:type="gramEnd"/>
      <w:r w:rsidRPr="00D03CBE">
        <w:rPr>
          <w:rFonts w:ascii="Century Gothic" w:hAnsi="Century Gothic"/>
          <w:sz w:val="20"/>
          <w:szCs w:val="20"/>
        </w:rPr>
        <w:t xml:space="preserve"> letale nello 0,5%-1% dei casi.</w:t>
      </w:r>
    </w:p>
    <w:p w14:paraId="6FEF3421" w14:textId="448E66FE" w:rsidR="00C11291" w:rsidRPr="00D03CBE" w:rsidRDefault="005243DA" w:rsidP="00D03CBE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È</w:t>
      </w:r>
      <w:r w:rsidR="00574757" w:rsidRPr="00D03CBE">
        <w:rPr>
          <w:rFonts w:ascii="Century Gothic" w:hAnsi="Century Gothic"/>
          <w:sz w:val="20"/>
          <w:szCs w:val="20"/>
        </w:rPr>
        <w:t xml:space="preserve"> una patologia prevenibile adottando comportamenti igienico-sanitari corretti quali l’igiene personale, degli alimenti e delle mani, evitando l’ingestione di alimenti crudi non adeguatamente lavati e utilizzando </w:t>
      </w:r>
      <w:r w:rsidRPr="00D03CBE">
        <w:rPr>
          <w:rFonts w:ascii="Century Gothic" w:hAnsi="Century Gothic"/>
          <w:sz w:val="20"/>
          <w:szCs w:val="20"/>
        </w:rPr>
        <w:t>acqua potabile</w:t>
      </w:r>
      <w:r w:rsidR="00574757" w:rsidRPr="00D03CBE">
        <w:rPr>
          <w:rFonts w:ascii="Century Gothic" w:hAnsi="Century Gothic"/>
          <w:sz w:val="20"/>
          <w:szCs w:val="20"/>
        </w:rPr>
        <w:t xml:space="preserve">. </w:t>
      </w:r>
      <w:r w:rsidR="00922DCB" w:rsidRPr="00D03CBE">
        <w:rPr>
          <w:rFonts w:ascii="Century Gothic" w:hAnsi="Century Gothic"/>
          <w:sz w:val="20"/>
          <w:szCs w:val="20"/>
        </w:rPr>
        <w:t>L</w:t>
      </w:r>
      <w:r w:rsidR="00574757" w:rsidRPr="00D03CBE">
        <w:rPr>
          <w:rFonts w:ascii="Century Gothic" w:hAnsi="Century Gothic"/>
          <w:sz w:val="20"/>
          <w:szCs w:val="20"/>
        </w:rPr>
        <w:t>e basse temperature o il congelamento non inattivano il virus, ma solo le temperature di almeno 85°C mantenute per 1 minuto.</w:t>
      </w:r>
    </w:p>
    <w:p w14:paraId="46AFBE83" w14:textId="21A8A036" w:rsidR="00C11291" w:rsidRPr="00D03CBE" w:rsidRDefault="00574757" w:rsidP="00D03CBE">
      <w:p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 xml:space="preserve">La vaccinazione </w:t>
      </w:r>
      <w:r w:rsidR="008E0709" w:rsidRPr="00D03CBE">
        <w:rPr>
          <w:rFonts w:ascii="Century Gothic" w:hAnsi="Century Gothic"/>
          <w:sz w:val="20"/>
          <w:szCs w:val="20"/>
        </w:rPr>
        <w:t>è</w:t>
      </w:r>
      <w:r w:rsidRPr="00D03CBE">
        <w:rPr>
          <w:rFonts w:ascii="Century Gothic" w:hAnsi="Century Gothic"/>
          <w:sz w:val="20"/>
          <w:szCs w:val="20"/>
        </w:rPr>
        <w:t xml:space="preserve"> molto efficace e conferisce un’immunità per almeno vent’anni, il numero delle dosi necessarie può essere diverso a seconda del vaccino utilizzato.</w:t>
      </w:r>
    </w:p>
    <w:p w14:paraId="5F2C906A" w14:textId="59C6837B" w:rsidR="00C11291" w:rsidRPr="00D03CBE" w:rsidRDefault="00574757" w:rsidP="00D03CBE">
      <w:pPr>
        <w:jc w:val="both"/>
        <w:rPr>
          <w:rFonts w:ascii="Century Gothic" w:hAnsi="Century Gothic"/>
          <w:b/>
          <w:bCs/>
          <w:sz w:val="20"/>
          <w:szCs w:val="20"/>
        </w:rPr>
      </w:pPr>
      <w:r w:rsidRPr="00D03CBE">
        <w:rPr>
          <w:rFonts w:ascii="Century Gothic" w:hAnsi="Century Gothic"/>
          <w:b/>
          <w:bCs/>
          <w:sz w:val="20"/>
          <w:szCs w:val="20"/>
        </w:rPr>
        <w:t xml:space="preserve">Quali sono le </w:t>
      </w:r>
      <w:r w:rsidR="00D03CBE" w:rsidRPr="00D03CBE">
        <w:rPr>
          <w:rFonts w:ascii="Century Gothic" w:hAnsi="Century Gothic"/>
          <w:b/>
          <w:bCs/>
          <w:sz w:val="20"/>
          <w:szCs w:val="20"/>
        </w:rPr>
        <w:t>c</w:t>
      </w:r>
      <w:r w:rsidRPr="00D03CBE">
        <w:rPr>
          <w:rFonts w:ascii="Century Gothic" w:hAnsi="Century Gothic"/>
          <w:b/>
          <w:bCs/>
          <w:sz w:val="20"/>
          <w:szCs w:val="20"/>
        </w:rPr>
        <w:t>aratteristiche del vaccino?</w:t>
      </w:r>
    </w:p>
    <w:p w14:paraId="4BAD10C4" w14:textId="5F83C6B5" w:rsidR="00C11291" w:rsidRPr="00D03CBE" w:rsidRDefault="00574757" w:rsidP="00D03CBE">
      <w:p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 xml:space="preserve">I vaccini disponibili sono tutti a virus inattivato, si possono trovare formulazioni monovalenti o associati al vaccino </w:t>
      </w:r>
      <w:r w:rsidR="009F5D0F" w:rsidRPr="00D03CBE">
        <w:rPr>
          <w:rFonts w:ascii="Century Gothic" w:hAnsi="Century Gothic"/>
          <w:sz w:val="20"/>
          <w:szCs w:val="20"/>
        </w:rPr>
        <w:t>antiepatite</w:t>
      </w:r>
      <w:r w:rsidRPr="00D03CBE">
        <w:rPr>
          <w:rFonts w:ascii="Century Gothic" w:hAnsi="Century Gothic"/>
          <w:sz w:val="20"/>
          <w:szCs w:val="20"/>
        </w:rPr>
        <w:t xml:space="preserve"> B (vaccino combinato). </w:t>
      </w:r>
    </w:p>
    <w:p w14:paraId="49691C60" w14:textId="77777777" w:rsidR="00C11291" w:rsidRPr="00D03CBE" w:rsidRDefault="00574757" w:rsidP="00D03CBE">
      <w:pPr>
        <w:jc w:val="both"/>
        <w:rPr>
          <w:rFonts w:ascii="Century Gothic" w:hAnsi="Century Gothic"/>
          <w:b/>
          <w:bCs/>
          <w:sz w:val="20"/>
          <w:szCs w:val="20"/>
        </w:rPr>
      </w:pPr>
      <w:r w:rsidRPr="00D03CBE">
        <w:rPr>
          <w:rFonts w:ascii="Century Gothic" w:hAnsi="Century Gothic"/>
          <w:b/>
          <w:bCs/>
          <w:sz w:val="20"/>
          <w:szCs w:val="20"/>
        </w:rPr>
        <w:t>Come si somministra?</w:t>
      </w:r>
    </w:p>
    <w:p w14:paraId="4CC2E6FF" w14:textId="63493905" w:rsidR="008F2781" w:rsidRDefault="00574757" w:rsidP="008F2781">
      <w:pPr>
        <w:jc w:val="both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 xml:space="preserve">Il vaccino si somministra sotto forma di iniezione intramuscolare nel deltoide (per gli adulti) o nei bambini nel muscolo anterolaterale della coscia. </w:t>
      </w:r>
      <w:r w:rsidR="008F2781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Può essere co-somministrato con altri vaccini, a meno di controindicazioni specifiche. </w:t>
      </w:r>
    </w:p>
    <w:p w14:paraId="6D649C94" w14:textId="16328691" w:rsidR="00B17EEB" w:rsidRPr="00D03CBE" w:rsidRDefault="00B17EEB" w:rsidP="00D03CBE">
      <w:p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 xml:space="preserve">È raccomandato dopo il primo </w:t>
      </w:r>
      <w:r w:rsidR="004118AE">
        <w:rPr>
          <w:rFonts w:ascii="Century Gothic" w:hAnsi="Century Gothic"/>
          <w:sz w:val="20"/>
          <w:szCs w:val="20"/>
        </w:rPr>
        <w:t>anno di vita</w:t>
      </w:r>
      <w:r w:rsidRPr="00D03CBE">
        <w:rPr>
          <w:rFonts w:ascii="Century Gothic" w:hAnsi="Century Gothic"/>
          <w:sz w:val="20"/>
          <w:szCs w:val="20"/>
        </w:rPr>
        <w:t xml:space="preserve">, in due dosi a distanza di almeno 6 mesi l'una dall'altra, che garantiscono una protezione duratura. </w:t>
      </w:r>
    </w:p>
    <w:p w14:paraId="1F44D522" w14:textId="1526AE08" w:rsidR="00C11291" w:rsidRPr="00D03CBE" w:rsidRDefault="00B17EEB" w:rsidP="00D03CBE">
      <w:p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>L’Organizzazione Mondiale</w:t>
      </w:r>
      <w:r w:rsidR="00574757" w:rsidRPr="00D03CBE">
        <w:rPr>
          <w:rFonts w:ascii="Century Gothic" w:hAnsi="Century Gothic"/>
          <w:sz w:val="20"/>
          <w:szCs w:val="20"/>
        </w:rPr>
        <w:t xml:space="preserve"> </w:t>
      </w:r>
      <w:r w:rsidRPr="00D03CBE">
        <w:rPr>
          <w:rFonts w:ascii="Century Gothic" w:hAnsi="Century Gothic"/>
          <w:sz w:val="20"/>
          <w:szCs w:val="20"/>
        </w:rPr>
        <w:t>della Sanità raccomanda la vaccinazione ai viaggiatori diretti verso aree quali: Africa, Asia, Medio Oriente, Sud e Centro America e bacino del Mediterraneo, in cui l’infezione è molto diffusa e le condizioni igienico-sanitarie</w:t>
      </w:r>
      <w:r w:rsidR="00D03E29" w:rsidRPr="00D03CBE">
        <w:rPr>
          <w:rFonts w:ascii="Century Gothic" w:hAnsi="Century Gothic"/>
          <w:sz w:val="20"/>
          <w:szCs w:val="20"/>
        </w:rPr>
        <w:t xml:space="preserve"> sono scadenti. </w:t>
      </w:r>
      <w:r w:rsidRPr="00D03CBE">
        <w:rPr>
          <w:rFonts w:ascii="Century Gothic" w:hAnsi="Century Gothic"/>
          <w:sz w:val="20"/>
          <w:szCs w:val="20"/>
        </w:rPr>
        <w:t>Il vaccino è estremamente efficace e sicuro, è in grado di dare una buona protezione se somministrato 2-4 settimane prima di viaggiare in una zona a rischio.</w:t>
      </w:r>
    </w:p>
    <w:p w14:paraId="2EB12AE1" w14:textId="51CF8EDA" w:rsidR="00C11291" w:rsidRPr="00D03CBE" w:rsidRDefault="00574757" w:rsidP="00D03CBE">
      <w:pPr>
        <w:jc w:val="both"/>
        <w:rPr>
          <w:rFonts w:ascii="Century Gothic" w:hAnsi="Century Gothic"/>
          <w:b/>
          <w:bCs/>
          <w:sz w:val="20"/>
          <w:szCs w:val="20"/>
        </w:rPr>
      </w:pPr>
      <w:r w:rsidRPr="00D03CBE">
        <w:rPr>
          <w:rFonts w:ascii="Century Gothic" w:hAnsi="Century Gothic"/>
          <w:b/>
          <w:bCs/>
          <w:sz w:val="20"/>
          <w:szCs w:val="20"/>
        </w:rPr>
        <w:t>Per chi è indicata questa vaccinazione?</w:t>
      </w:r>
    </w:p>
    <w:p w14:paraId="5DC6D60C" w14:textId="77777777" w:rsidR="00C11291" w:rsidRPr="00D03CBE" w:rsidRDefault="00574757" w:rsidP="00D03CBE">
      <w:p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>A partire dal 12° mese di vita, nei seguenti soggetti a rischio:</w:t>
      </w:r>
    </w:p>
    <w:p w14:paraId="300E822C" w14:textId="77777777" w:rsidR="00C11291" w:rsidRPr="00D03CBE" w:rsidRDefault="00574757" w:rsidP="00D03CBE">
      <w:pPr>
        <w:pStyle w:val="Paragrafoelenco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>Soggetti affetti da patologie epatiche croniche</w:t>
      </w:r>
    </w:p>
    <w:p w14:paraId="37A49678" w14:textId="77777777" w:rsidR="00C11291" w:rsidRPr="00D03CBE" w:rsidRDefault="00574757" w:rsidP="00D03CBE">
      <w:pPr>
        <w:pStyle w:val="Paragrafoelenco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>Soggetti che vivono in luoghi con focolai epidemici</w:t>
      </w:r>
    </w:p>
    <w:p w14:paraId="402D542F" w14:textId="77777777" w:rsidR="00C11291" w:rsidRPr="00D03CBE" w:rsidRDefault="00574757" w:rsidP="00D03CBE">
      <w:pPr>
        <w:pStyle w:val="Paragrafoelenco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lastRenderedPageBreak/>
        <w:t>Pazienti con coagulopatie che richiedono terapie a lungo termine con derivati di natura ematica</w:t>
      </w:r>
    </w:p>
    <w:p w14:paraId="260359B4" w14:textId="77777777" w:rsidR="00C11291" w:rsidRPr="00D03CBE" w:rsidRDefault="00574757" w:rsidP="00D03CBE">
      <w:pPr>
        <w:pStyle w:val="Paragrafoelenco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>Tossicodipendenti</w:t>
      </w:r>
    </w:p>
    <w:p w14:paraId="699524EE" w14:textId="77777777" w:rsidR="00C11291" w:rsidRPr="00D03CBE" w:rsidRDefault="00574757" w:rsidP="00D03CBE">
      <w:pPr>
        <w:pStyle w:val="Paragrafoelenco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>Uomini che hanno rapporti sessuali non protetti con altri uomini</w:t>
      </w:r>
    </w:p>
    <w:p w14:paraId="19B6B6CC" w14:textId="77777777" w:rsidR="00C11291" w:rsidRPr="00D03CBE" w:rsidRDefault="00574757" w:rsidP="00D03CBE">
      <w:pPr>
        <w:pStyle w:val="Paragrafoelenco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>Soggetti che viaggiano (per turismo o per lavoro) in aree endemiche</w:t>
      </w:r>
    </w:p>
    <w:p w14:paraId="118F7F03" w14:textId="77777777" w:rsidR="00C11291" w:rsidRPr="00D03CBE" w:rsidRDefault="00574757" w:rsidP="00D03CBE">
      <w:pPr>
        <w:pStyle w:val="Paragrafoelenco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>Familiari, o coloro che hanno contatti stretti, con persone affette dalla malattia</w:t>
      </w:r>
    </w:p>
    <w:p w14:paraId="490853D5" w14:textId="77777777" w:rsidR="00C11291" w:rsidRPr="00D03CBE" w:rsidRDefault="00574757" w:rsidP="00D03CBE">
      <w:pPr>
        <w:pStyle w:val="Paragrafoelenco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>Soggetti che lavorano in laboratori di ricerca in cui è possibile il contagio</w:t>
      </w:r>
    </w:p>
    <w:p w14:paraId="078407BF" w14:textId="270CD2C3" w:rsidR="00C11291" w:rsidRPr="00D03CBE" w:rsidRDefault="00574757" w:rsidP="00D03CBE">
      <w:pPr>
        <w:pStyle w:val="Paragrafoelenco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>Soggetti che sono stati esposti al rischio di infezione con virus dell’epatite A (entro 14 giorni dall’esposizione)</w:t>
      </w:r>
    </w:p>
    <w:p w14:paraId="6F29DF35" w14:textId="77777777" w:rsidR="00C11291" w:rsidRPr="00D03CBE" w:rsidRDefault="00574757" w:rsidP="00D03CBE">
      <w:pPr>
        <w:jc w:val="both"/>
        <w:rPr>
          <w:rFonts w:ascii="Century Gothic" w:hAnsi="Century Gothic"/>
          <w:b/>
          <w:bCs/>
          <w:sz w:val="20"/>
          <w:szCs w:val="20"/>
        </w:rPr>
      </w:pPr>
      <w:r w:rsidRPr="00D03CBE">
        <w:rPr>
          <w:rFonts w:ascii="Century Gothic" w:hAnsi="Century Gothic"/>
          <w:b/>
          <w:bCs/>
          <w:sz w:val="20"/>
          <w:szCs w:val="20"/>
        </w:rPr>
        <w:t>In quali casi si deve rinviare la vaccinazione?</w:t>
      </w:r>
    </w:p>
    <w:p w14:paraId="3464F6A1" w14:textId="38D38177" w:rsidR="00C11291" w:rsidRPr="00D03CBE" w:rsidRDefault="00574757" w:rsidP="00D03CBE">
      <w:p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>La somministrazione del vaccino deve essere rinviata solo in caso di uno stato febbrile acuto grave</w:t>
      </w:r>
      <w:r w:rsidR="00FE6206" w:rsidRPr="00D03CBE">
        <w:rPr>
          <w:rFonts w:ascii="Century Gothic" w:hAnsi="Century Gothic"/>
          <w:sz w:val="20"/>
          <w:szCs w:val="20"/>
        </w:rPr>
        <w:t xml:space="preserve"> o disturbi generali giudicati importanti dal medico. L</w:t>
      </w:r>
      <w:r w:rsidRPr="00D03CBE">
        <w:rPr>
          <w:rFonts w:ascii="Century Gothic" w:hAnsi="Century Gothic"/>
          <w:sz w:val="20"/>
          <w:szCs w:val="20"/>
        </w:rPr>
        <w:t>a presenza di infezioni lievi non comporta il ritardo della vaccinazione.</w:t>
      </w:r>
    </w:p>
    <w:p w14:paraId="20565A6D" w14:textId="77777777" w:rsidR="00C11291" w:rsidRPr="00D03CBE" w:rsidRDefault="00574757" w:rsidP="00D03CBE">
      <w:p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>In caso di gravidanza è sempre opportuno informare il proprio medico curante</w:t>
      </w:r>
    </w:p>
    <w:p w14:paraId="2BD7DC91" w14:textId="77777777" w:rsidR="00C11291" w:rsidRPr="00D03CBE" w:rsidRDefault="00574757" w:rsidP="00D03CBE">
      <w:pPr>
        <w:jc w:val="both"/>
        <w:rPr>
          <w:rFonts w:ascii="Century Gothic" w:hAnsi="Century Gothic"/>
          <w:b/>
          <w:bCs/>
          <w:sz w:val="20"/>
          <w:szCs w:val="20"/>
        </w:rPr>
      </w:pPr>
      <w:r w:rsidRPr="00D03CBE">
        <w:rPr>
          <w:rFonts w:ascii="Century Gothic" w:hAnsi="Century Gothic"/>
          <w:b/>
          <w:bCs/>
          <w:sz w:val="20"/>
          <w:szCs w:val="20"/>
        </w:rPr>
        <w:t>In quali casi non si può fare la vaccinazione?</w:t>
      </w:r>
    </w:p>
    <w:p w14:paraId="13357FC5" w14:textId="77777777" w:rsidR="00C11291" w:rsidRPr="00D03CBE" w:rsidRDefault="00574757" w:rsidP="00D03CBE">
      <w:p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>La vaccinazione è controindicata nei soggetti che hanno manifestato gravi reazioni allergiche (shock anafilattico) al vaccino o a uno dei suoi componenti.</w:t>
      </w:r>
    </w:p>
    <w:p w14:paraId="06735AEC" w14:textId="31FE42D4" w:rsidR="00C11291" w:rsidRPr="00D03CBE" w:rsidRDefault="00574757" w:rsidP="00D03CBE">
      <w:pPr>
        <w:jc w:val="both"/>
        <w:rPr>
          <w:rFonts w:ascii="Century Gothic" w:hAnsi="Century Gothic"/>
          <w:b/>
          <w:bCs/>
          <w:sz w:val="20"/>
          <w:szCs w:val="20"/>
        </w:rPr>
      </w:pPr>
      <w:r w:rsidRPr="00D03CBE">
        <w:rPr>
          <w:rFonts w:ascii="Century Gothic" w:hAnsi="Century Gothic"/>
          <w:b/>
          <w:bCs/>
          <w:sz w:val="20"/>
          <w:szCs w:val="20"/>
        </w:rPr>
        <w:t>Quali sono i possibili effetti indesiderati</w:t>
      </w:r>
      <w:r w:rsidR="00D03CBE" w:rsidRPr="00D03CBE">
        <w:rPr>
          <w:rFonts w:ascii="Century Gothic" w:hAnsi="Century Gothic"/>
          <w:b/>
          <w:bCs/>
          <w:sz w:val="20"/>
          <w:szCs w:val="20"/>
        </w:rPr>
        <w:t>?</w:t>
      </w:r>
    </w:p>
    <w:p w14:paraId="1273C59C" w14:textId="77777777" w:rsidR="00C11291" w:rsidRDefault="00574757" w:rsidP="00D03CBE">
      <w:pPr>
        <w:jc w:val="both"/>
        <w:rPr>
          <w:rFonts w:ascii="Century Gothic" w:hAnsi="Century Gothic"/>
          <w:sz w:val="20"/>
          <w:szCs w:val="20"/>
        </w:rPr>
      </w:pPr>
      <w:r w:rsidRPr="00D03CBE">
        <w:rPr>
          <w:rFonts w:ascii="Century Gothic" w:hAnsi="Century Gothic"/>
          <w:sz w:val="20"/>
          <w:szCs w:val="20"/>
        </w:rPr>
        <w:t>Generalmente si manifestano entro 24-48 ore dall’avvenuta vaccinazione. Si tratta di reazioni di lieve entità che si risolvono nel giro di qualche giorno e consistono principalmente in rossore e gonfiore in sede di iniezione, febbre, irritabilità, mal di testa, diarrea, nausea, vomito, senso di malessere generale.</w:t>
      </w:r>
    </w:p>
    <w:p w14:paraId="11D1F0E3" w14:textId="2F6A68FB" w:rsidR="00F60EFB" w:rsidRPr="0003325C" w:rsidRDefault="00F60EFB" w:rsidP="00F60EFB">
      <w:pPr>
        <w:spacing w:before="240" w:after="0"/>
        <w:rPr>
          <w:rFonts w:ascii="Century Gothic" w:hAnsi="Century Gothic" w:cstheme="minorHAnsi"/>
          <w:color w:val="000000" w:themeColor="text1"/>
          <w:sz w:val="20"/>
          <w:szCs w:val="20"/>
        </w:rPr>
      </w:pPr>
      <w:r>
        <w:rPr>
          <w:rFonts w:ascii="Century Gothic" w:hAnsi="Century Gothic" w:cstheme="minorHAnsi"/>
          <w:color w:val="000000" w:themeColor="text1"/>
          <w:sz w:val="20"/>
          <w:szCs w:val="20"/>
        </w:rPr>
        <w:t>Nel caso in cui si manifestino effetti indesiderati di gravità superiore a quelli descritti, rivolgersi al proprio medico di fiducia.</w:t>
      </w:r>
    </w:p>
    <w:p w14:paraId="2F0299C5" w14:textId="77777777" w:rsidR="00F60EFB" w:rsidRDefault="00F60EFB" w:rsidP="00D03CBE">
      <w:pPr>
        <w:jc w:val="both"/>
        <w:rPr>
          <w:rFonts w:ascii="Century Gothic" w:hAnsi="Century Gothic"/>
          <w:sz w:val="20"/>
          <w:szCs w:val="20"/>
        </w:rPr>
      </w:pPr>
    </w:p>
    <w:p w14:paraId="30763C9E" w14:textId="77777777" w:rsidR="002256DB" w:rsidRPr="00AF364A" w:rsidRDefault="002256DB" w:rsidP="002256DB">
      <w:pPr>
        <w:jc w:val="both"/>
        <w:rPr>
          <w:rFonts w:ascii="Century Gothic" w:hAnsi="Century Gothic" w:cs="ArialMT"/>
          <w:sz w:val="20"/>
          <w:szCs w:val="20"/>
        </w:rPr>
      </w:pPr>
      <w:r w:rsidRPr="00AF364A">
        <w:rPr>
          <w:rFonts w:ascii="Century Gothic" w:hAnsi="Century Gothic" w:cs="ArialMT"/>
          <w:sz w:val="20"/>
          <w:szCs w:val="20"/>
        </w:rPr>
        <w:t>Non si può escludere il verificarsi una reazione allergica grave (anafilassi) dopo somministrazione di qualsiasi vaccino pur essendo un evento eccezionale.</w:t>
      </w:r>
    </w:p>
    <w:p w14:paraId="7E70BC26" w14:textId="02569D81" w:rsidR="00C11291" w:rsidRPr="00D03CBE" w:rsidRDefault="00574757" w:rsidP="00D03CBE">
      <w:pPr>
        <w:jc w:val="both"/>
        <w:rPr>
          <w:rFonts w:ascii="Century Gothic" w:hAnsi="Century Gothic"/>
          <w:b/>
          <w:bCs/>
          <w:sz w:val="20"/>
          <w:szCs w:val="20"/>
        </w:rPr>
      </w:pPr>
      <w:r w:rsidRPr="00D03CBE">
        <w:rPr>
          <w:rFonts w:ascii="Century Gothic" w:hAnsi="Century Gothic"/>
          <w:b/>
          <w:bCs/>
          <w:sz w:val="20"/>
          <w:szCs w:val="20"/>
        </w:rPr>
        <w:t>Cosa fare dopo la vaccinazione</w:t>
      </w:r>
      <w:r w:rsidR="00D03CBE" w:rsidRPr="00D03CBE">
        <w:rPr>
          <w:rFonts w:ascii="Century Gothic" w:hAnsi="Century Gothic"/>
          <w:b/>
          <w:bCs/>
          <w:sz w:val="20"/>
          <w:szCs w:val="20"/>
        </w:rPr>
        <w:t>?</w:t>
      </w:r>
    </w:p>
    <w:p w14:paraId="7BF8E319" w14:textId="77777777" w:rsidR="00D3715B" w:rsidRDefault="00D3715B" w:rsidP="00D3715B">
      <w:pPr>
        <w:spacing w:before="240" w:after="0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03325C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Rispettare un tempo di osservazione post-vaccinale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>come</w:t>
      </w:r>
      <w:r w:rsidRPr="0003325C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>indicato dall’operatore sanitario. Di norma l’attesa dopo la vaccinazione è considerata sicura dopo 15-20 minuti, in casi specifici può essere richiesto un tempo superiore di osservazione.</w:t>
      </w:r>
    </w:p>
    <w:sectPr w:rsidR="00D3715B" w:rsidSect="00615311">
      <w:headerReference w:type="default" r:id="rId7"/>
      <w:footerReference w:type="default" r:id="rId8"/>
      <w:pgSz w:w="11906" w:h="16838"/>
      <w:pgMar w:top="1417" w:right="1134" w:bottom="1134" w:left="1134" w:header="0" w:footer="56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53219" w14:textId="77777777" w:rsidR="00244FEA" w:rsidRDefault="00244FEA" w:rsidP="006C0C25">
      <w:pPr>
        <w:spacing w:after="0" w:line="240" w:lineRule="auto"/>
      </w:pPr>
      <w:r>
        <w:separator/>
      </w:r>
    </w:p>
  </w:endnote>
  <w:endnote w:type="continuationSeparator" w:id="0">
    <w:p w14:paraId="086A95D4" w14:textId="77777777" w:rsidR="00244FEA" w:rsidRDefault="00244FEA" w:rsidP="006C0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4191C" w14:textId="04F9A97F" w:rsidR="00615311" w:rsidRPr="00B6288E" w:rsidRDefault="00B6288E" w:rsidP="00B6288E">
    <w:pPr>
      <w:pStyle w:val="Pidipagina"/>
      <w:jc w:val="center"/>
    </w:pPr>
    <w:r w:rsidRPr="007756D3">
      <w:rPr>
        <w:noProof/>
      </w:rPr>
      <w:drawing>
        <wp:inline distT="0" distB="0" distL="0" distR="0" wp14:anchorId="78E83298" wp14:editId="7EE9D9AA">
          <wp:extent cx="676275" cy="371647"/>
          <wp:effectExtent l="0" t="0" r="0" b="9525"/>
          <wp:docPr id="21679436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905" cy="373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7EE01" w14:textId="77777777" w:rsidR="00244FEA" w:rsidRDefault="00244FEA" w:rsidP="006C0C25">
      <w:pPr>
        <w:spacing w:after="0" w:line="240" w:lineRule="auto"/>
      </w:pPr>
      <w:r>
        <w:separator/>
      </w:r>
    </w:p>
  </w:footnote>
  <w:footnote w:type="continuationSeparator" w:id="0">
    <w:p w14:paraId="046B48BC" w14:textId="77777777" w:rsidR="00244FEA" w:rsidRDefault="00244FEA" w:rsidP="006C0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76F38" w14:textId="77777777" w:rsidR="00615311" w:rsidRDefault="00615311" w:rsidP="00615311">
    <w:pPr>
      <w:pStyle w:val="Intestazione"/>
      <w:jc w:val="center"/>
    </w:pPr>
  </w:p>
  <w:p w14:paraId="5BA77608" w14:textId="77777777" w:rsidR="00615311" w:rsidRDefault="00615311" w:rsidP="00615311">
    <w:pPr>
      <w:pStyle w:val="Intestazione"/>
      <w:jc w:val="center"/>
    </w:pPr>
  </w:p>
  <w:p w14:paraId="4363F6A9" w14:textId="4267F22A" w:rsidR="006C0C25" w:rsidRDefault="00615311" w:rsidP="00615311">
    <w:pPr>
      <w:pStyle w:val="Intestazione"/>
      <w:jc w:val="center"/>
    </w:pPr>
    <w:r>
      <w:rPr>
        <w:rFonts w:ascii="Titillium Web" w:hAnsi="Titillium Web" w:cs="Arial"/>
        <w:noProof/>
        <w:color w:val="D21C1E"/>
        <w:sz w:val="27"/>
        <w:szCs w:val="27"/>
      </w:rPr>
      <w:drawing>
        <wp:inline distT="0" distB="0" distL="0" distR="0" wp14:anchorId="19FAA92B" wp14:editId="4038A466">
          <wp:extent cx="848549" cy="504000"/>
          <wp:effectExtent l="0" t="0" r="8890" b="0"/>
          <wp:docPr id="1" name="Immagine 1" descr="Regione Lombardia">
            <a:hlinkClick xmlns:a="http://schemas.openxmlformats.org/drawingml/2006/main" r:id="rId1" tgtFrame="&quot;_blank&quot;" tooltip="&quot;[Apre una nuova pagina] Regione Lombardia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gione Lombardia">
                    <a:hlinkClick r:id="rId1" tgtFrame="&quot;_blank&quot;" tooltip="&quot;[Apre una nuova pagina] Regione Lombardia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549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3565C"/>
    <w:multiLevelType w:val="hybridMultilevel"/>
    <w:tmpl w:val="A8DA2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63EF8"/>
    <w:multiLevelType w:val="multilevel"/>
    <w:tmpl w:val="F52C1C5E"/>
    <w:lvl w:ilvl="0"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82A6B3A"/>
    <w:multiLevelType w:val="multilevel"/>
    <w:tmpl w:val="A1CE00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81350B"/>
    <w:multiLevelType w:val="multilevel"/>
    <w:tmpl w:val="3E849A9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936790544">
    <w:abstractNumId w:val="1"/>
  </w:num>
  <w:num w:numId="2" w16cid:durableId="1768231407">
    <w:abstractNumId w:val="2"/>
  </w:num>
  <w:num w:numId="3" w16cid:durableId="1462502884">
    <w:abstractNumId w:val="3"/>
  </w:num>
  <w:num w:numId="4" w16cid:durableId="1108962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291"/>
    <w:rsid w:val="001738DB"/>
    <w:rsid w:val="002256DB"/>
    <w:rsid w:val="00244FEA"/>
    <w:rsid w:val="004118AE"/>
    <w:rsid w:val="005243DA"/>
    <w:rsid w:val="00574757"/>
    <w:rsid w:val="00615311"/>
    <w:rsid w:val="006C0C25"/>
    <w:rsid w:val="00745C59"/>
    <w:rsid w:val="008E0709"/>
    <w:rsid w:val="008F2781"/>
    <w:rsid w:val="00922DCB"/>
    <w:rsid w:val="009F5D0F"/>
    <w:rsid w:val="00A14D08"/>
    <w:rsid w:val="00B17EEB"/>
    <w:rsid w:val="00B6288E"/>
    <w:rsid w:val="00C11291"/>
    <w:rsid w:val="00D03CBE"/>
    <w:rsid w:val="00D03E29"/>
    <w:rsid w:val="00D3715B"/>
    <w:rsid w:val="00DF33A0"/>
    <w:rsid w:val="00F60EFB"/>
    <w:rsid w:val="00FE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F4DAA"/>
  <w15:docId w15:val="{24AA0030-FAE4-EF4E-94D6-3FE7D158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Arial"/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34"/>
    <w:qFormat/>
    <w:rsid w:val="0069148A"/>
    <w:pPr>
      <w:ind w:left="720"/>
      <w:contextualSpacing/>
    </w:pPr>
  </w:style>
  <w:style w:type="paragraph" w:styleId="Nessunaspaziatura">
    <w:name w:val="No Spacing"/>
    <w:uiPriority w:val="1"/>
    <w:qFormat/>
    <w:rsid w:val="00D03CBE"/>
    <w:pPr>
      <w:spacing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6C0C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0C25"/>
  </w:style>
  <w:style w:type="paragraph" w:styleId="Pidipagina">
    <w:name w:val="footer"/>
    <w:basedOn w:val="Normale"/>
    <w:link w:val="PidipaginaCarattere"/>
    <w:uiPriority w:val="99"/>
    <w:unhideWhenUsed/>
    <w:rsid w:val="006C0C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0C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egione.lombardia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Socio Sanitaria Territoriale (ASST) Di Monza</Company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D'apolito Lina</dc:creator>
  <dc:description/>
  <cp:lastModifiedBy>Laiolo Antonella</cp:lastModifiedBy>
  <cp:revision>2</cp:revision>
  <dcterms:created xsi:type="dcterms:W3CDTF">2024-08-20T07:27:00Z</dcterms:created>
  <dcterms:modified xsi:type="dcterms:W3CDTF">2024-08-20T07:27:00Z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Azienda Socio Sanitaria Territoriale (ASST) Di Monza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