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578E6" w14:textId="705B43E3" w:rsidR="009A7AB4" w:rsidRDefault="03CF05CD" w:rsidP="03CF05CD">
      <w:pPr>
        <w:jc w:val="center"/>
        <w:rPr>
          <w:rFonts w:ascii="Century Gothic" w:eastAsia="Century Gothic" w:hAnsi="Century Gothic" w:cs="Century Gothic"/>
          <w:color w:val="000000" w:themeColor="text1"/>
          <w:sz w:val="24"/>
          <w:szCs w:val="24"/>
        </w:rPr>
      </w:pPr>
      <w:r w:rsidRPr="03CF05CD">
        <w:rPr>
          <w:rFonts w:ascii="Century Gothic" w:eastAsia="Century Gothic" w:hAnsi="Century Gothic" w:cs="Century Gothic"/>
          <w:b/>
          <w:bCs/>
          <w:smallCaps/>
          <w:color w:val="000000" w:themeColor="text1"/>
          <w:sz w:val="24"/>
          <w:szCs w:val="24"/>
        </w:rPr>
        <w:t>scheda informativa</w:t>
      </w:r>
      <w:r w:rsidR="000B5663">
        <w:rPr>
          <w:rFonts w:ascii="Century Gothic" w:eastAsia="Century Gothic" w:hAnsi="Century Gothic" w:cs="Century Gothic"/>
          <w:b/>
          <w:bCs/>
          <w:smallCaps/>
          <w:color w:val="000000" w:themeColor="text1"/>
          <w:sz w:val="24"/>
          <w:szCs w:val="24"/>
        </w:rPr>
        <w:t xml:space="preserve">: </w:t>
      </w:r>
      <w:r w:rsidR="009A7AB4">
        <w:rPr>
          <w:rFonts w:ascii="Century Gothic" w:eastAsia="Century Gothic" w:hAnsi="Century Gothic" w:cs="Century Gothic"/>
          <w:b/>
          <w:bCs/>
          <w:smallCaps/>
          <w:color w:val="000000" w:themeColor="text1"/>
          <w:sz w:val="24"/>
          <w:szCs w:val="24"/>
        </w:rPr>
        <w:t>VACCINO VARICELLA</w:t>
      </w:r>
    </w:p>
    <w:p w14:paraId="477E12C4" w14:textId="553247DC" w:rsidR="00E91B46" w:rsidRDefault="03CF05CD" w:rsidP="00553771">
      <w:pPr>
        <w:jc w:val="both"/>
        <w:rPr>
          <w:rFonts w:ascii="Century Gothic" w:eastAsia="Century Gothic" w:hAnsi="Century Gothic" w:cs="Century Gothic"/>
          <w:b/>
          <w:bCs/>
          <w:color w:val="000000" w:themeColor="text1"/>
          <w:sz w:val="20"/>
          <w:szCs w:val="20"/>
        </w:rPr>
      </w:pPr>
      <w:r w:rsidRPr="03CF05CD">
        <w:rPr>
          <w:rFonts w:ascii="Century Gothic" w:eastAsia="Century Gothic" w:hAnsi="Century Gothic" w:cs="Century Gothic"/>
          <w:b/>
          <w:bCs/>
          <w:color w:val="000000" w:themeColor="text1"/>
          <w:sz w:val="20"/>
          <w:szCs w:val="20"/>
        </w:rPr>
        <w:t>Quale malattia previene?</w:t>
      </w:r>
    </w:p>
    <w:p w14:paraId="6E9A693C" w14:textId="77777777" w:rsidR="009A7AB4" w:rsidRDefault="009A7AB4" w:rsidP="00553771">
      <w:pPr>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 xml:space="preserve">La </w:t>
      </w:r>
      <w:r w:rsidRPr="009A7AB4">
        <w:rPr>
          <w:rFonts w:ascii="Century Gothic" w:eastAsia="Century Gothic" w:hAnsi="Century Gothic" w:cs="Century Gothic"/>
          <w:b/>
          <w:bCs/>
          <w:color w:val="000000" w:themeColor="text1"/>
          <w:sz w:val="20"/>
          <w:szCs w:val="20"/>
        </w:rPr>
        <w:t>varicella</w:t>
      </w:r>
      <w:r w:rsidRPr="009A7AB4">
        <w:rPr>
          <w:rFonts w:ascii="Century Gothic" w:eastAsia="Century Gothic" w:hAnsi="Century Gothic" w:cs="Century Gothic"/>
          <w:color w:val="000000" w:themeColor="text1"/>
          <w:sz w:val="20"/>
          <w:szCs w:val="20"/>
        </w:rPr>
        <w:t xml:space="preserve"> è una malattia infettiva acuta, molto contagiosa, causata da un virus, che si manifesta con la comparsa di macchioline sulla pelle e sulle mucose che si trasformano rapidamente in vescicole e croste. </w:t>
      </w:r>
    </w:p>
    <w:p w14:paraId="6445DFBF" w14:textId="77777777" w:rsidR="009A7AB4" w:rsidRDefault="009A7AB4" w:rsidP="00553771">
      <w:pPr>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 xml:space="preserve">La malattia è in genere lieve, ma in alcuni casi si possono verificare complicanze come piastrinopenia (riduzione delle piastrine nel sangue), polmonite, encefalite (infezione del cervello). Le persone con grave riduzione delle difese immunitarie hanno un maggior rischio di complicanze anche in forma grave. Se contratta in gravidanza la varicella può essere pericolosa per il nascituro. </w:t>
      </w:r>
    </w:p>
    <w:p w14:paraId="55EB8897" w14:textId="77777777" w:rsidR="009A7AB4" w:rsidRDefault="009A7AB4" w:rsidP="00553771">
      <w:pPr>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 xml:space="preserve">Talvolta il virus può rimanere nascosto nell’individuo che ha avuto la varicella e può riattivarsi successivamente a distanza di anni provocando l’herpes zoster (fuoco di Sant’Antonio). </w:t>
      </w:r>
    </w:p>
    <w:p w14:paraId="0E34648D" w14:textId="77777777" w:rsidR="009A7AB4" w:rsidRDefault="009A7AB4" w:rsidP="00553771">
      <w:pPr>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 xml:space="preserve">La trasmissione della malattia avviene tramite le goccioline di saliva e per contatto diretto con le vescicole. </w:t>
      </w:r>
    </w:p>
    <w:p w14:paraId="2F2A766C" w14:textId="0B023DE8" w:rsidR="00E91B46" w:rsidRDefault="03CF05CD" w:rsidP="00553771">
      <w:pPr>
        <w:tabs>
          <w:tab w:val="left" w:pos="1440"/>
        </w:tabs>
        <w:jc w:val="both"/>
        <w:rPr>
          <w:rFonts w:ascii="Century Gothic" w:eastAsia="Century Gothic" w:hAnsi="Century Gothic" w:cs="Century Gothic"/>
          <w:b/>
          <w:bCs/>
          <w:color w:val="000000" w:themeColor="text1"/>
          <w:sz w:val="20"/>
          <w:szCs w:val="20"/>
        </w:rPr>
      </w:pPr>
      <w:r w:rsidRPr="03CF05CD">
        <w:rPr>
          <w:rFonts w:ascii="Century Gothic" w:eastAsia="Century Gothic" w:hAnsi="Century Gothic" w:cs="Century Gothic"/>
          <w:b/>
          <w:bCs/>
          <w:color w:val="000000" w:themeColor="text1"/>
          <w:sz w:val="20"/>
          <w:szCs w:val="20"/>
        </w:rPr>
        <w:t>Quali sono le caratteristiche del vaccino?</w:t>
      </w:r>
    </w:p>
    <w:p w14:paraId="6EAA6DC8" w14:textId="15EE647E" w:rsidR="009A7AB4" w:rsidRDefault="009A7AB4" w:rsidP="00553771">
      <w:p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Il vaccino è costituito da virus vivo attenuato</w:t>
      </w:r>
      <w:r w:rsidR="002B246C">
        <w:rPr>
          <w:rFonts w:ascii="Century Gothic" w:eastAsia="Century Gothic" w:hAnsi="Century Gothic" w:cs="Century Gothic"/>
          <w:color w:val="000000" w:themeColor="text1"/>
          <w:sz w:val="20"/>
          <w:szCs w:val="20"/>
        </w:rPr>
        <w:t xml:space="preserve">. </w:t>
      </w:r>
      <w:r w:rsidRPr="009A7AB4">
        <w:rPr>
          <w:rFonts w:ascii="Century Gothic" w:eastAsia="Century Gothic" w:hAnsi="Century Gothic" w:cs="Century Gothic"/>
          <w:color w:val="000000" w:themeColor="text1"/>
          <w:sz w:val="20"/>
          <w:szCs w:val="20"/>
        </w:rPr>
        <w:t xml:space="preserve">Il vaccino conferisce ai bambini e agli adulti sani una buona protezione. </w:t>
      </w:r>
    </w:p>
    <w:p w14:paraId="4F1EAD02" w14:textId="7591F59C" w:rsidR="00E91B46" w:rsidRDefault="03CF05CD" w:rsidP="00553771">
      <w:pPr>
        <w:jc w:val="both"/>
        <w:rPr>
          <w:rFonts w:ascii="Century Gothic" w:eastAsia="Century Gothic" w:hAnsi="Century Gothic" w:cs="Century Gothic"/>
          <w:b/>
          <w:bCs/>
          <w:color w:val="000000" w:themeColor="text1"/>
          <w:sz w:val="20"/>
          <w:szCs w:val="20"/>
        </w:rPr>
      </w:pPr>
      <w:r w:rsidRPr="03CF05CD">
        <w:rPr>
          <w:rFonts w:ascii="Century Gothic" w:eastAsia="Century Gothic" w:hAnsi="Century Gothic" w:cs="Century Gothic"/>
          <w:b/>
          <w:bCs/>
          <w:color w:val="000000" w:themeColor="text1"/>
          <w:sz w:val="20"/>
          <w:szCs w:val="20"/>
        </w:rPr>
        <w:t>Come si somministra?</w:t>
      </w:r>
    </w:p>
    <w:p w14:paraId="7B885894" w14:textId="60D627B8" w:rsidR="002B246C" w:rsidRPr="002B246C" w:rsidRDefault="002B246C" w:rsidP="00553771">
      <w:pPr>
        <w:tabs>
          <w:tab w:val="left" w:pos="1440"/>
        </w:tabs>
        <w:jc w:val="both"/>
        <w:rPr>
          <w:rFonts w:ascii="Century Gothic" w:eastAsia="Century Gothic" w:hAnsi="Century Gothic" w:cs="Century Gothic"/>
          <w:color w:val="000000" w:themeColor="text1"/>
          <w:sz w:val="20"/>
          <w:szCs w:val="20"/>
        </w:rPr>
      </w:pPr>
      <w:r>
        <w:rPr>
          <w:rFonts w:ascii="Century Gothic" w:eastAsia="Century Gothic" w:hAnsi="Century Gothic" w:cs="Century Gothic"/>
          <w:color w:val="000000" w:themeColor="text1"/>
          <w:sz w:val="20"/>
          <w:szCs w:val="20"/>
        </w:rPr>
        <w:t>V</w:t>
      </w:r>
      <w:r w:rsidRPr="009A7AB4">
        <w:rPr>
          <w:rFonts w:ascii="Century Gothic" w:eastAsia="Century Gothic" w:hAnsi="Century Gothic" w:cs="Century Gothic"/>
          <w:color w:val="000000" w:themeColor="text1"/>
          <w:sz w:val="20"/>
          <w:szCs w:val="20"/>
        </w:rPr>
        <w:t>iene somministrato per via sottocutanea o intramuscolare.</w:t>
      </w:r>
      <w:r>
        <w:rPr>
          <w:rFonts w:ascii="Century Gothic" w:eastAsia="Century Gothic" w:hAnsi="Century Gothic" w:cs="Century Gothic"/>
          <w:color w:val="000000" w:themeColor="text1"/>
          <w:sz w:val="20"/>
          <w:szCs w:val="20"/>
        </w:rPr>
        <w:t xml:space="preserve"> </w:t>
      </w:r>
      <w:r w:rsidRPr="009A7AB4">
        <w:rPr>
          <w:rFonts w:ascii="Century Gothic" w:eastAsia="Century Gothic" w:hAnsi="Century Gothic" w:cs="Century Gothic"/>
          <w:color w:val="000000" w:themeColor="text1"/>
          <w:sz w:val="20"/>
          <w:szCs w:val="20"/>
        </w:rPr>
        <w:t xml:space="preserve">Il vaccino può essere co-somministrato con altri vaccini </w:t>
      </w:r>
      <w:r w:rsidR="002A1FA8">
        <w:rPr>
          <w:rFonts w:ascii="Century Gothic" w:eastAsia="Century Gothic" w:hAnsi="Century Gothic" w:cs="Century Gothic"/>
          <w:color w:val="000000" w:themeColor="text1"/>
          <w:sz w:val="20"/>
          <w:szCs w:val="20"/>
        </w:rPr>
        <w:t xml:space="preserve">coerentemente con le regole di </w:t>
      </w:r>
      <w:r w:rsidR="001E6B29">
        <w:rPr>
          <w:rFonts w:ascii="Century Gothic" w:eastAsia="Century Gothic" w:hAnsi="Century Gothic" w:cs="Century Gothic"/>
          <w:color w:val="000000" w:themeColor="text1"/>
          <w:sz w:val="20"/>
          <w:szCs w:val="20"/>
        </w:rPr>
        <w:t xml:space="preserve">somministrazione </w:t>
      </w:r>
      <w:r w:rsidR="00623A15">
        <w:rPr>
          <w:rFonts w:ascii="Century Gothic" w:eastAsia="Century Gothic" w:hAnsi="Century Gothic" w:cs="Century Gothic"/>
          <w:color w:val="000000" w:themeColor="text1"/>
          <w:sz w:val="20"/>
          <w:szCs w:val="20"/>
        </w:rPr>
        <w:t xml:space="preserve">specifiche </w:t>
      </w:r>
      <w:r w:rsidR="001E6B29">
        <w:rPr>
          <w:rFonts w:ascii="Century Gothic" w:eastAsia="Century Gothic" w:hAnsi="Century Gothic" w:cs="Century Gothic"/>
          <w:color w:val="000000" w:themeColor="text1"/>
          <w:sz w:val="20"/>
          <w:szCs w:val="20"/>
        </w:rPr>
        <w:t>dei vaccini vivi attenuati.</w:t>
      </w:r>
    </w:p>
    <w:p w14:paraId="748D148C" w14:textId="4EA9E269" w:rsidR="00E91B46" w:rsidRDefault="03CF05CD" w:rsidP="00553771">
      <w:pPr>
        <w:jc w:val="both"/>
        <w:rPr>
          <w:rFonts w:ascii="Century Gothic" w:eastAsia="Century Gothic" w:hAnsi="Century Gothic" w:cs="Century Gothic"/>
          <w:b/>
          <w:bCs/>
          <w:color w:val="000000" w:themeColor="text1"/>
          <w:sz w:val="20"/>
          <w:szCs w:val="20"/>
        </w:rPr>
      </w:pPr>
      <w:r w:rsidRPr="03CF05CD">
        <w:rPr>
          <w:rFonts w:ascii="Century Gothic" w:eastAsia="Century Gothic" w:hAnsi="Century Gothic" w:cs="Century Gothic"/>
          <w:b/>
          <w:bCs/>
          <w:color w:val="000000" w:themeColor="text1"/>
          <w:sz w:val="20"/>
          <w:szCs w:val="20"/>
        </w:rPr>
        <w:t>Per chi è indicata questa vaccinazione?</w:t>
      </w:r>
    </w:p>
    <w:p w14:paraId="39A48D58" w14:textId="77777777" w:rsidR="002B246C" w:rsidRDefault="002B246C" w:rsidP="00553771">
      <w:p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Il vaccino è obbligatorio a partire dai nati dal 2017</w:t>
      </w:r>
      <w:r>
        <w:rPr>
          <w:rFonts w:ascii="Century Gothic" w:eastAsia="Century Gothic" w:hAnsi="Century Gothic" w:cs="Century Gothic"/>
          <w:color w:val="000000" w:themeColor="text1"/>
          <w:sz w:val="20"/>
          <w:szCs w:val="20"/>
        </w:rPr>
        <w:t xml:space="preserve"> </w:t>
      </w:r>
      <w:r w:rsidRPr="009A7AB4">
        <w:rPr>
          <w:rFonts w:ascii="Century Gothic" w:eastAsia="Century Gothic" w:hAnsi="Century Gothic" w:cs="Century Gothic"/>
          <w:color w:val="000000" w:themeColor="text1"/>
          <w:sz w:val="20"/>
          <w:szCs w:val="20"/>
        </w:rPr>
        <w:t xml:space="preserve">e raccomandato in presenza di specifiche condizioni di rischio: </w:t>
      </w:r>
    </w:p>
    <w:p w14:paraId="78CF4966" w14:textId="77777777" w:rsidR="002B246C" w:rsidRDefault="002B246C" w:rsidP="00553771">
      <w:pPr>
        <w:pStyle w:val="Paragrafoelenco"/>
        <w:numPr>
          <w:ilvl w:val="0"/>
          <w:numId w:val="1"/>
        </w:num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leucemie in fase di remissione</w:t>
      </w:r>
    </w:p>
    <w:p w14:paraId="433FC57E" w14:textId="77777777" w:rsidR="002B246C" w:rsidRDefault="002B246C" w:rsidP="00553771">
      <w:pPr>
        <w:pStyle w:val="Paragrafoelenco"/>
        <w:numPr>
          <w:ilvl w:val="0"/>
          <w:numId w:val="1"/>
        </w:num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infezione da Hiv in stadio non avanzato</w:t>
      </w:r>
    </w:p>
    <w:p w14:paraId="00883AEF" w14:textId="77777777" w:rsidR="002B246C" w:rsidRDefault="002B246C" w:rsidP="00553771">
      <w:pPr>
        <w:pStyle w:val="Paragrafoelenco"/>
        <w:numPr>
          <w:ilvl w:val="0"/>
          <w:numId w:val="1"/>
        </w:num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malattie croniche dei reni</w:t>
      </w:r>
    </w:p>
    <w:p w14:paraId="0549933B" w14:textId="77777777" w:rsidR="002B246C" w:rsidRDefault="002B246C" w:rsidP="00553771">
      <w:pPr>
        <w:pStyle w:val="Paragrafoelenco"/>
        <w:numPr>
          <w:ilvl w:val="0"/>
          <w:numId w:val="1"/>
        </w:num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candidati a trapianto</w:t>
      </w:r>
    </w:p>
    <w:p w14:paraId="72A1FEF2" w14:textId="77777777" w:rsidR="002B246C" w:rsidRDefault="002B246C" w:rsidP="00553771">
      <w:pPr>
        <w:pStyle w:val="Paragrafoelenco"/>
        <w:numPr>
          <w:ilvl w:val="0"/>
          <w:numId w:val="1"/>
        </w:num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conviventi di soggetti con grave deficit del sistema immunitario</w:t>
      </w:r>
    </w:p>
    <w:p w14:paraId="4BBE7E4F" w14:textId="6951ABDE" w:rsidR="002B246C" w:rsidRDefault="002931A2" w:rsidP="00553771">
      <w:p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È</w:t>
      </w:r>
      <w:r w:rsidR="002B246C">
        <w:rPr>
          <w:rFonts w:ascii="Century Gothic" w:eastAsia="Century Gothic" w:hAnsi="Century Gothic" w:cs="Century Gothic"/>
          <w:color w:val="000000" w:themeColor="text1"/>
          <w:sz w:val="20"/>
          <w:szCs w:val="20"/>
        </w:rPr>
        <w:t xml:space="preserve"> </w:t>
      </w:r>
      <w:r w:rsidR="002B246C" w:rsidRPr="009A7AB4">
        <w:rPr>
          <w:rFonts w:ascii="Century Gothic" w:eastAsia="Century Gothic" w:hAnsi="Century Gothic" w:cs="Century Gothic"/>
          <w:color w:val="000000" w:themeColor="text1"/>
          <w:sz w:val="20"/>
          <w:szCs w:val="20"/>
        </w:rPr>
        <w:t xml:space="preserve">inoltre consigliato alle donne in età fertile che non hanno fatto la malattia. </w:t>
      </w:r>
    </w:p>
    <w:p w14:paraId="665FC5C9" w14:textId="3D937DFE" w:rsidR="002B246C" w:rsidRDefault="002B246C" w:rsidP="00553771">
      <w:pPr>
        <w:tabs>
          <w:tab w:val="left" w:pos="1440"/>
        </w:tabs>
        <w:jc w:val="both"/>
        <w:rPr>
          <w:rFonts w:ascii="Century Gothic" w:eastAsia="Century Gothic" w:hAnsi="Century Gothic" w:cs="Century Gothic"/>
          <w:color w:val="000000" w:themeColor="text1"/>
          <w:sz w:val="20"/>
          <w:szCs w:val="20"/>
        </w:rPr>
      </w:pPr>
      <w:r w:rsidRPr="009A7AB4">
        <w:rPr>
          <w:rFonts w:ascii="Century Gothic" w:eastAsia="Century Gothic" w:hAnsi="Century Gothic" w:cs="Century Gothic"/>
          <w:color w:val="000000" w:themeColor="text1"/>
          <w:sz w:val="20"/>
          <w:szCs w:val="20"/>
        </w:rPr>
        <w:t>Sono previste due dosi</w:t>
      </w:r>
      <w:r>
        <w:rPr>
          <w:rFonts w:ascii="Century Gothic" w:eastAsia="Century Gothic" w:hAnsi="Century Gothic" w:cs="Century Gothic"/>
          <w:color w:val="000000" w:themeColor="text1"/>
          <w:sz w:val="20"/>
          <w:szCs w:val="20"/>
        </w:rPr>
        <w:t xml:space="preserve">. </w:t>
      </w:r>
    </w:p>
    <w:p w14:paraId="6BC9F8D4" w14:textId="5E554254" w:rsidR="00E91B46" w:rsidRDefault="03CF05CD" w:rsidP="00553771">
      <w:pPr>
        <w:tabs>
          <w:tab w:val="left" w:pos="1440"/>
        </w:tabs>
        <w:jc w:val="both"/>
        <w:rPr>
          <w:rFonts w:ascii="Century Gothic" w:eastAsia="Century Gothic" w:hAnsi="Century Gothic" w:cs="Century Gothic"/>
          <w:b/>
          <w:bCs/>
          <w:color w:val="000000" w:themeColor="text1"/>
          <w:sz w:val="20"/>
          <w:szCs w:val="20"/>
        </w:rPr>
      </w:pPr>
      <w:r w:rsidRPr="03CF05CD">
        <w:rPr>
          <w:rFonts w:ascii="Century Gothic" w:eastAsia="Century Gothic" w:hAnsi="Century Gothic" w:cs="Century Gothic"/>
          <w:b/>
          <w:bCs/>
          <w:color w:val="000000" w:themeColor="text1"/>
          <w:sz w:val="20"/>
          <w:szCs w:val="20"/>
        </w:rPr>
        <w:t>In quali casi si deve rinviare la vaccinazione?</w:t>
      </w:r>
    </w:p>
    <w:p w14:paraId="07DE6E2E" w14:textId="4BDB650F" w:rsidR="002B246C" w:rsidRDefault="002B246C" w:rsidP="00553771">
      <w:pPr>
        <w:spacing w:after="0" w:line="240" w:lineRule="auto"/>
        <w:jc w:val="both"/>
        <w:rPr>
          <w:rFonts w:ascii="Century Gothic" w:eastAsia="Times New Roman" w:hAnsi="Century Gothic" w:cs="Times New Roman"/>
          <w:color w:val="000000"/>
          <w:sz w:val="20"/>
          <w:szCs w:val="20"/>
          <w:shd w:val="clear" w:color="auto" w:fill="FFFFFF"/>
          <w:lang w:eastAsia="it-IT"/>
        </w:rPr>
      </w:pPr>
      <w:r w:rsidRPr="002B246C">
        <w:rPr>
          <w:rFonts w:ascii="Century Gothic" w:eastAsia="Times New Roman" w:hAnsi="Century Gothic" w:cs="Times New Roman"/>
          <w:color w:val="000000"/>
          <w:sz w:val="20"/>
          <w:szCs w:val="20"/>
          <w:shd w:val="clear" w:color="auto" w:fill="FFFFFF"/>
          <w:lang w:eastAsia="it-IT"/>
        </w:rPr>
        <w:t>Come con altri vaccini, la somministrazione deve essere rimandata nei soggetti con malattie febbrili acute in atto o altri disturbi considerati clinicamente rilevanti dal medico</w:t>
      </w:r>
      <w:r w:rsidR="00460E13">
        <w:rPr>
          <w:rFonts w:ascii="Century Gothic" w:eastAsia="Times New Roman" w:hAnsi="Century Gothic" w:cs="Times New Roman"/>
          <w:color w:val="000000"/>
          <w:sz w:val="20"/>
          <w:szCs w:val="20"/>
          <w:shd w:val="clear" w:color="auto" w:fill="FFFFFF"/>
          <w:lang w:eastAsia="it-IT"/>
        </w:rPr>
        <w:t xml:space="preserve"> </w:t>
      </w:r>
      <w:r w:rsidR="00460E13" w:rsidRPr="00460E13">
        <w:rPr>
          <w:rFonts w:ascii="Century Gothic" w:eastAsia="Times New Roman" w:hAnsi="Century Gothic" w:cs="Times New Roman"/>
          <w:color w:val="000000"/>
          <w:sz w:val="20"/>
          <w:szCs w:val="20"/>
          <w:shd w:val="clear" w:color="auto" w:fill="FFFFFF"/>
          <w:lang w:eastAsia="it-IT"/>
        </w:rPr>
        <w:t>ed evitare l’uso di aspirina (salicilati) nelle sei settimane successive alla vaccinazione.</w:t>
      </w:r>
    </w:p>
    <w:p w14:paraId="035A7B74" w14:textId="77777777" w:rsidR="002B246C" w:rsidRPr="002B246C" w:rsidRDefault="002B246C" w:rsidP="00553771">
      <w:pPr>
        <w:spacing w:after="0" w:line="240" w:lineRule="auto"/>
        <w:jc w:val="both"/>
        <w:rPr>
          <w:rFonts w:ascii="Times New Roman" w:eastAsia="Times New Roman" w:hAnsi="Times New Roman" w:cs="Times New Roman"/>
          <w:sz w:val="24"/>
          <w:szCs w:val="24"/>
          <w:lang w:eastAsia="it-IT"/>
        </w:rPr>
      </w:pPr>
    </w:p>
    <w:p w14:paraId="09DB8223" w14:textId="413EC3B8" w:rsidR="00E91B46" w:rsidRDefault="03CF05CD" w:rsidP="00553771">
      <w:pPr>
        <w:jc w:val="both"/>
        <w:rPr>
          <w:rFonts w:ascii="Century Gothic" w:eastAsia="Century Gothic" w:hAnsi="Century Gothic" w:cs="Century Gothic"/>
          <w:b/>
          <w:bCs/>
          <w:color w:val="000000" w:themeColor="text1"/>
          <w:sz w:val="20"/>
          <w:szCs w:val="20"/>
        </w:rPr>
      </w:pPr>
      <w:r w:rsidRPr="03CF05CD">
        <w:rPr>
          <w:rFonts w:ascii="Century Gothic" w:eastAsia="Century Gothic" w:hAnsi="Century Gothic" w:cs="Century Gothic"/>
          <w:b/>
          <w:bCs/>
          <w:color w:val="000000" w:themeColor="text1"/>
          <w:sz w:val="20"/>
          <w:szCs w:val="20"/>
        </w:rPr>
        <w:t>In quali casi non si può fare la vaccinazione?</w:t>
      </w:r>
    </w:p>
    <w:p w14:paraId="194D5F2F" w14:textId="25BBF508" w:rsidR="002B246C" w:rsidRDefault="002B246C" w:rsidP="00553771">
      <w:pPr>
        <w:spacing w:after="0" w:line="240" w:lineRule="auto"/>
        <w:jc w:val="both"/>
        <w:rPr>
          <w:rFonts w:ascii="Century Gothic" w:eastAsia="Times New Roman" w:hAnsi="Century Gothic" w:cs="Times New Roman"/>
          <w:color w:val="000000"/>
          <w:sz w:val="20"/>
          <w:szCs w:val="20"/>
          <w:shd w:val="clear" w:color="auto" w:fill="FFFFFF"/>
          <w:lang w:eastAsia="it-IT"/>
        </w:rPr>
      </w:pPr>
      <w:r w:rsidRPr="002B246C">
        <w:rPr>
          <w:rFonts w:ascii="Century Gothic" w:eastAsia="Times New Roman" w:hAnsi="Century Gothic" w:cs="Times New Roman"/>
          <w:color w:val="000000"/>
          <w:sz w:val="20"/>
          <w:szCs w:val="20"/>
          <w:shd w:val="clear" w:color="auto" w:fill="FFFFFF"/>
          <w:lang w:eastAsia="it-IT"/>
        </w:rPr>
        <w:t xml:space="preserve">Non si può procedere con la vaccinazione </w:t>
      </w:r>
      <w:r>
        <w:rPr>
          <w:rFonts w:ascii="Century Gothic" w:eastAsia="Times New Roman" w:hAnsi="Century Gothic" w:cs="Times New Roman"/>
          <w:color w:val="000000"/>
          <w:sz w:val="20"/>
          <w:szCs w:val="20"/>
          <w:shd w:val="clear" w:color="auto" w:fill="FFFFFF"/>
          <w:lang w:eastAsia="it-IT"/>
        </w:rPr>
        <w:t>nei seguenti casi:</w:t>
      </w:r>
    </w:p>
    <w:p w14:paraId="2090F097" w14:textId="77777777" w:rsidR="00460E13" w:rsidRPr="00460E13" w:rsidRDefault="00460E13" w:rsidP="00553771">
      <w:pPr>
        <w:pStyle w:val="Paragrafoelenco"/>
        <w:numPr>
          <w:ilvl w:val="0"/>
          <w:numId w:val="2"/>
        </w:numPr>
        <w:spacing w:after="0" w:line="240" w:lineRule="auto"/>
        <w:jc w:val="both"/>
        <w:rPr>
          <w:rFonts w:ascii="Times New Roman" w:eastAsia="Times New Roman" w:hAnsi="Times New Roman" w:cs="Times New Roman"/>
          <w:sz w:val="24"/>
          <w:szCs w:val="24"/>
          <w:lang w:eastAsia="it-IT"/>
        </w:rPr>
      </w:pPr>
      <w:r w:rsidRPr="00460E13">
        <w:rPr>
          <w:rFonts w:ascii="Century Gothic" w:eastAsia="Times New Roman" w:hAnsi="Century Gothic" w:cs="Times New Roman"/>
          <w:color w:val="000000"/>
          <w:sz w:val="20"/>
          <w:szCs w:val="20"/>
          <w:shd w:val="clear" w:color="auto" w:fill="FFFFFF"/>
          <w:lang w:eastAsia="it-IT"/>
        </w:rPr>
        <w:t>reazione allergica grave ad una dose precedente o ad un componente del vaccino. </w:t>
      </w:r>
    </w:p>
    <w:p w14:paraId="36B3FE29" w14:textId="47A03A08" w:rsidR="002B246C" w:rsidRDefault="00460E13" w:rsidP="00553771">
      <w:pPr>
        <w:pStyle w:val="Paragrafoelenco"/>
        <w:numPr>
          <w:ilvl w:val="0"/>
          <w:numId w:val="2"/>
        </w:numPr>
        <w:spacing w:after="0" w:line="240" w:lineRule="auto"/>
        <w:jc w:val="both"/>
        <w:rPr>
          <w:rFonts w:ascii="Century Gothic" w:eastAsia="Times New Roman" w:hAnsi="Century Gothic" w:cs="Times New Roman"/>
          <w:color w:val="000000"/>
          <w:sz w:val="20"/>
          <w:szCs w:val="20"/>
          <w:shd w:val="clear" w:color="auto" w:fill="FFFFFF"/>
          <w:lang w:eastAsia="it-IT"/>
        </w:rPr>
      </w:pPr>
      <w:r w:rsidRPr="00460E13">
        <w:rPr>
          <w:rFonts w:ascii="Century Gothic" w:eastAsia="Times New Roman" w:hAnsi="Century Gothic" w:cs="Times New Roman"/>
          <w:color w:val="000000"/>
          <w:sz w:val="20"/>
          <w:szCs w:val="20"/>
          <w:shd w:val="clear" w:color="auto" w:fill="FFFFFF"/>
          <w:lang w:eastAsia="it-IT"/>
        </w:rPr>
        <w:t>grave compromissione del sistema immunitario, come immunodepressione da farmaci, immunodeficienza congenita o acquisita, recente trapianto</w:t>
      </w:r>
      <w:r>
        <w:rPr>
          <w:rFonts w:ascii="Century Gothic" w:eastAsia="Times New Roman" w:hAnsi="Century Gothic" w:cs="Times New Roman"/>
          <w:color w:val="000000"/>
          <w:sz w:val="20"/>
          <w:szCs w:val="20"/>
          <w:shd w:val="clear" w:color="auto" w:fill="FFFFFF"/>
          <w:lang w:eastAsia="it-IT"/>
        </w:rPr>
        <w:t>.</w:t>
      </w:r>
    </w:p>
    <w:p w14:paraId="68DF0E69" w14:textId="1027973B" w:rsidR="00460E13" w:rsidRPr="00460E13" w:rsidRDefault="00460E13" w:rsidP="00553771">
      <w:pPr>
        <w:pStyle w:val="Paragrafoelenco"/>
        <w:numPr>
          <w:ilvl w:val="0"/>
          <w:numId w:val="2"/>
        </w:numPr>
        <w:spacing w:after="0" w:line="240" w:lineRule="auto"/>
        <w:jc w:val="both"/>
        <w:rPr>
          <w:rFonts w:ascii="Century Gothic" w:eastAsia="Times New Roman" w:hAnsi="Century Gothic" w:cs="Times New Roman"/>
          <w:color w:val="000000"/>
          <w:sz w:val="20"/>
          <w:szCs w:val="20"/>
          <w:shd w:val="clear" w:color="auto" w:fill="FFFFFF"/>
          <w:lang w:eastAsia="it-IT"/>
        </w:rPr>
      </w:pPr>
      <w:r w:rsidRPr="00460E13">
        <w:rPr>
          <w:rFonts w:ascii="Century Gothic" w:eastAsia="Times New Roman" w:hAnsi="Century Gothic" w:cs="Times New Roman"/>
          <w:color w:val="000000"/>
          <w:sz w:val="20"/>
          <w:szCs w:val="20"/>
          <w:shd w:val="clear" w:color="auto" w:fill="FFFFFF"/>
          <w:lang w:eastAsia="it-IT"/>
        </w:rPr>
        <w:t>somministrazione recente di prodotti derivati dal sangue</w:t>
      </w:r>
      <w:r>
        <w:rPr>
          <w:rFonts w:ascii="Century Gothic" w:eastAsia="Times New Roman" w:hAnsi="Century Gothic" w:cs="Times New Roman"/>
          <w:color w:val="000000"/>
          <w:sz w:val="20"/>
          <w:szCs w:val="20"/>
          <w:shd w:val="clear" w:color="auto" w:fill="FFFFFF"/>
          <w:lang w:eastAsia="it-IT"/>
        </w:rPr>
        <w:t>.</w:t>
      </w:r>
    </w:p>
    <w:p w14:paraId="2B36C2CB" w14:textId="77777777" w:rsidR="00460E13" w:rsidRDefault="00460E13" w:rsidP="00553771">
      <w:pPr>
        <w:jc w:val="both"/>
        <w:rPr>
          <w:rFonts w:ascii="Century Gothic" w:eastAsia="Century Gothic" w:hAnsi="Century Gothic" w:cs="Century Gothic"/>
          <w:color w:val="000000" w:themeColor="text1"/>
          <w:sz w:val="20"/>
          <w:szCs w:val="20"/>
        </w:rPr>
      </w:pPr>
    </w:p>
    <w:p w14:paraId="1FE734A0" w14:textId="130468D7" w:rsidR="002B246C" w:rsidRPr="002B246C" w:rsidRDefault="00460E13" w:rsidP="00553771">
      <w:pPr>
        <w:jc w:val="both"/>
        <w:rPr>
          <w:rFonts w:ascii="Century Gothic" w:eastAsia="Century Gothic" w:hAnsi="Century Gothic" w:cs="Century Gothic"/>
          <w:color w:val="000000" w:themeColor="text1"/>
          <w:sz w:val="20"/>
          <w:szCs w:val="20"/>
        </w:rPr>
      </w:pPr>
      <w:r w:rsidRPr="00460E13">
        <w:rPr>
          <w:rFonts w:ascii="Century Gothic" w:eastAsia="Century Gothic" w:hAnsi="Century Gothic" w:cs="Century Gothic"/>
          <w:color w:val="000000" w:themeColor="text1"/>
          <w:sz w:val="20"/>
          <w:szCs w:val="20"/>
        </w:rPr>
        <w:t xml:space="preserve">La vaccinazione </w:t>
      </w:r>
      <w:r w:rsidRPr="00460E13">
        <w:rPr>
          <w:rFonts w:ascii="Century Gothic" w:eastAsia="Century Gothic" w:hAnsi="Century Gothic" w:cs="Century Gothic"/>
          <w:b/>
          <w:bCs/>
          <w:color w:val="000000" w:themeColor="text1"/>
          <w:sz w:val="20"/>
          <w:szCs w:val="20"/>
        </w:rPr>
        <w:t>non</w:t>
      </w:r>
      <w:r w:rsidRPr="00460E13">
        <w:rPr>
          <w:rFonts w:ascii="Century Gothic" w:eastAsia="Century Gothic" w:hAnsi="Century Gothic" w:cs="Century Gothic"/>
          <w:color w:val="000000" w:themeColor="text1"/>
          <w:sz w:val="20"/>
          <w:szCs w:val="20"/>
        </w:rPr>
        <w:t xml:space="preserve"> deve essere somministrata in gravidanza e la stessa deve essere evitata per 1 mese successivo alla vaccinazione.</w:t>
      </w:r>
    </w:p>
    <w:p w14:paraId="3AD1A5F5" w14:textId="6EDBB28C" w:rsidR="00E91B46" w:rsidRDefault="03CF05CD" w:rsidP="00553771">
      <w:pPr>
        <w:jc w:val="both"/>
        <w:rPr>
          <w:rFonts w:ascii="Century Gothic" w:eastAsia="Century Gothic" w:hAnsi="Century Gothic" w:cs="Century Gothic"/>
          <w:b/>
          <w:bCs/>
          <w:color w:val="000000" w:themeColor="text1"/>
          <w:sz w:val="20"/>
          <w:szCs w:val="20"/>
        </w:rPr>
      </w:pPr>
      <w:r w:rsidRPr="03CF05CD">
        <w:rPr>
          <w:rFonts w:ascii="Century Gothic" w:eastAsia="Century Gothic" w:hAnsi="Century Gothic" w:cs="Century Gothic"/>
          <w:b/>
          <w:bCs/>
          <w:color w:val="000000" w:themeColor="text1"/>
          <w:sz w:val="20"/>
          <w:szCs w:val="20"/>
        </w:rPr>
        <w:t>Quali sono i possibili effetti indesiderati?</w:t>
      </w:r>
    </w:p>
    <w:p w14:paraId="36D09639" w14:textId="77777777" w:rsidR="00460E13" w:rsidRDefault="00460E13" w:rsidP="00553771">
      <w:pPr>
        <w:jc w:val="both"/>
        <w:rPr>
          <w:rFonts w:ascii="Century Gothic" w:eastAsia="Century Gothic" w:hAnsi="Century Gothic" w:cs="Century Gothic"/>
          <w:color w:val="000000" w:themeColor="text1"/>
          <w:sz w:val="20"/>
          <w:szCs w:val="20"/>
        </w:rPr>
      </w:pPr>
      <w:r w:rsidRPr="00460E13">
        <w:rPr>
          <w:rFonts w:ascii="Century Gothic" w:eastAsia="Century Gothic" w:hAnsi="Century Gothic" w:cs="Century Gothic"/>
          <w:color w:val="000000" w:themeColor="text1"/>
          <w:sz w:val="20"/>
          <w:szCs w:val="20"/>
        </w:rPr>
        <w:t xml:space="preserve">Possono verificarsi effetti collaterali nella sede di iniezione: arrossamento, gonfiore e dolore e/o di tipo generale: febbre, irritabilità, sonnolenza. </w:t>
      </w:r>
    </w:p>
    <w:p w14:paraId="0FD8B6D4" w14:textId="77777777" w:rsidR="00460E13" w:rsidRDefault="00460E13" w:rsidP="00553771">
      <w:pPr>
        <w:jc w:val="both"/>
        <w:rPr>
          <w:rFonts w:ascii="Century Gothic" w:eastAsia="Century Gothic" w:hAnsi="Century Gothic" w:cs="Century Gothic"/>
          <w:color w:val="000000" w:themeColor="text1"/>
          <w:sz w:val="20"/>
          <w:szCs w:val="20"/>
        </w:rPr>
      </w:pPr>
      <w:r w:rsidRPr="00460E13">
        <w:rPr>
          <w:rFonts w:ascii="Century Gothic" w:eastAsia="Century Gothic" w:hAnsi="Century Gothic" w:cs="Century Gothic"/>
          <w:color w:val="000000" w:themeColor="text1"/>
          <w:sz w:val="20"/>
          <w:szCs w:val="20"/>
        </w:rPr>
        <w:t xml:space="preserve">Molto raramente possono verificarsi reazioni di maggiore entità quali febbre elevata (superiore a 39,5° C) o rash cutaneo simile alla varicella, diffuso a tutto il corpo, le persone non immuni devono evitare il contatto con le vescicole. In rari casi possono verificarsi anche disturbi del sistema vascolare e del sistema nervoso. </w:t>
      </w:r>
    </w:p>
    <w:p w14:paraId="2E8C77F3" w14:textId="77777777" w:rsidR="00F94AAB" w:rsidRPr="0003325C" w:rsidRDefault="00F94AAB" w:rsidP="00F94AAB">
      <w:pPr>
        <w:spacing w:before="240" w:after="0"/>
        <w:rPr>
          <w:rFonts w:ascii="Century Gothic" w:hAnsi="Century Gothic" w:cstheme="minorHAnsi"/>
          <w:color w:val="000000" w:themeColor="text1"/>
          <w:sz w:val="20"/>
          <w:szCs w:val="20"/>
        </w:rPr>
      </w:pPr>
      <w:r>
        <w:rPr>
          <w:rFonts w:ascii="Century Gothic" w:hAnsi="Century Gothic" w:cstheme="minorHAnsi"/>
          <w:color w:val="000000" w:themeColor="text1"/>
          <w:sz w:val="20"/>
          <w:szCs w:val="20"/>
        </w:rPr>
        <w:t>Nel caso in cui si manifestino effetti indesiderati di gravità superiore a quelli descritti, rivolgersi al proprio medico di fiducia.</w:t>
      </w:r>
    </w:p>
    <w:p w14:paraId="5DE265F0" w14:textId="77777777" w:rsidR="00F94AAB" w:rsidRPr="00AF364A" w:rsidRDefault="00F94AAB" w:rsidP="00F94AAB">
      <w:pPr>
        <w:jc w:val="both"/>
        <w:rPr>
          <w:rFonts w:ascii="Century Gothic" w:hAnsi="Century Gothic" w:cs="ArialMT"/>
          <w:sz w:val="20"/>
          <w:szCs w:val="20"/>
        </w:rPr>
      </w:pPr>
      <w:r w:rsidRPr="00AF364A">
        <w:rPr>
          <w:rFonts w:ascii="Century Gothic" w:hAnsi="Century Gothic" w:cs="ArialMT"/>
          <w:sz w:val="20"/>
          <w:szCs w:val="20"/>
        </w:rPr>
        <w:t>Non si può escludere il verificarsi una reazione allergica grave (anafilassi) dopo somministrazione di qualsiasi vaccino pur essendo un evento eccezionale.</w:t>
      </w:r>
    </w:p>
    <w:p w14:paraId="288A1B5E" w14:textId="75F53BB4" w:rsidR="00E91B46" w:rsidRDefault="03CF05CD" w:rsidP="00553771">
      <w:pPr>
        <w:jc w:val="both"/>
        <w:rPr>
          <w:rFonts w:ascii="Century Gothic" w:eastAsia="Century Gothic" w:hAnsi="Century Gothic" w:cs="Century Gothic"/>
          <w:color w:val="000000" w:themeColor="text1"/>
          <w:sz w:val="20"/>
          <w:szCs w:val="20"/>
        </w:rPr>
      </w:pPr>
      <w:r w:rsidRPr="03CF05CD">
        <w:rPr>
          <w:rFonts w:ascii="Century Gothic" w:eastAsia="Century Gothic" w:hAnsi="Century Gothic" w:cs="Century Gothic"/>
          <w:b/>
          <w:bCs/>
          <w:color w:val="000000" w:themeColor="text1"/>
          <w:sz w:val="20"/>
          <w:szCs w:val="20"/>
        </w:rPr>
        <w:t>Cosa fare dopo la vaccinazione?</w:t>
      </w:r>
    </w:p>
    <w:p w14:paraId="06946A59" w14:textId="77777777" w:rsidR="009E0B98" w:rsidRDefault="009E0B98" w:rsidP="009E0B98">
      <w:pPr>
        <w:spacing w:before="240" w:after="0"/>
        <w:rPr>
          <w:rFonts w:ascii="Century Gothic" w:hAnsi="Century Gothic" w:cstheme="minorHAnsi"/>
          <w:color w:val="000000" w:themeColor="text1"/>
          <w:sz w:val="20"/>
          <w:szCs w:val="20"/>
        </w:rPr>
      </w:pPr>
      <w:r w:rsidRPr="0003325C">
        <w:rPr>
          <w:rFonts w:ascii="Century Gothic" w:hAnsi="Century Gothic" w:cstheme="minorHAnsi"/>
          <w:color w:val="000000" w:themeColor="text1"/>
          <w:sz w:val="20"/>
          <w:szCs w:val="20"/>
        </w:rPr>
        <w:t xml:space="preserve">Rispettare un tempo di osservazione post-vaccinale </w:t>
      </w:r>
      <w:r>
        <w:rPr>
          <w:rFonts w:ascii="Century Gothic" w:hAnsi="Century Gothic" w:cstheme="minorHAnsi"/>
          <w:color w:val="000000" w:themeColor="text1"/>
          <w:sz w:val="20"/>
          <w:szCs w:val="20"/>
        </w:rPr>
        <w:t>come</w:t>
      </w:r>
      <w:r w:rsidRPr="0003325C">
        <w:rPr>
          <w:rFonts w:ascii="Century Gothic" w:hAnsi="Century Gothic" w:cstheme="minorHAnsi"/>
          <w:color w:val="000000" w:themeColor="text1"/>
          <w:sz w:val="20"/>
          <w:szCs w:val="20"/>
        </w:rPr>
        <w:t xml:space="preserve"> </w:t>
      </w:r>
      <w:r>
        <w:rPr>
          <w:rFonts w:ascii="Century Gothic" w:hAnsi="Century Gothic" w:cstheme="minorHAnsi"/>
          <w:color w:val="000000" w:themeColor="text1"/>
          <w:sz w:val="20"/>
          <w:szCs w:val="20"/>
        </w:rPr>
        <w:t>indicato dall’operatore sanitario. Di norma l’attesa dopo la vaccinazione è considerata sicura dopo 15-20 minuti, in casi specifici può essere richiesto un tempo superiore di osservazione.</w:t>
      </w:r>
    </w:p>
    <w:p w14:paraId="06C0970D" w14:textId="77777777" w:rsidR="009E0B98" w:rsidRDefault="009E0B98" w:rsidP="009E0B98">
      <w:pPr>
        <w:spacing w:before="240" w:after="0"/>
        <w:rPr>
          <w:rFonts w:ascii="Century Gothic" w:hAnsi="Century Gothic" w:cstheme="minorHAnsi"/>
          <w:color w:val="000000" w:themeColor="text1"/>
          <w:sz w:val="20"/>
          <w:szCs w:val="20"/>
        </w:rPr>
      </w:pPr>
    </w:p>
    <w:sectPr w:rsidR="009E0B98">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1A153" w14:textId="77777777" w:rsidR="00B2255D" w:rsidRDefault="00B2255D" w:rsidP="004C1486">
      <w:pPr>
        <w:spacing w:after="0" w:line="240" w:lineRule="auto"/>
      </w:pPr>
      <w:r>
        <w:separator/>
      </w:r>
    </w:p>
  </w:endnote>
  <w:endnote w:type="continuationSeparator" w:id="0">
    <w:p w14:paraId="2AC04D4E" w14:textId="77777777" w:rsidR="00B2255D" w:rsidRDefault="00B2255D" w:rsidP="004C1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Titillium Web">
    <w:altName w:val="Titillium Web"/>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243E1" w14:textId="460D9095" w:rsidR="004C1486" w:rsidRPr="000B5663" w:rsidRDefault="000B5663" w:rsidP="000B5663">
    <w:pPr>
      <w:pStyle w:val="Pidipagina"/>
      <w:jc w:val="center"/>
    </w:pPr>
    <w:r w:rsidRPr="007756D3">
      <w:rPr>
        <w:noProof/>
      </w:rPr>
      <w:drawing>
        <wp:inline distT="0" distB="0" distL="0" distR="0" wp14:anchorId="117089E2" wp14:editId="25667034">
          <wp:extent cx="676275" cy="371647"/>
          <wp:effectExtent l="0" t="0" r="0" b="9525"/>
          <wp:docPr id="21679436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905" cy="37364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C2AF7" w14:textId="77777777" w:rsidR="00B2255D" w:rsidRDefault="00B2255D" w:rsidP="004C1486">
      <w:pPr>
        <w:spacing w:after="0" w:line="240" w:lineRule="auto"/>
      </w:pPr>
      <w:r>
        <w:separator/>
      </w:r>
    </w:p>
  </w:footnote>
  <w:footnote w:type="continuationSeparator" w:id="0">
    <w:p w14:paraId="1CC6E51A" w14:textId="77777777" w:rsidR="00B2255D" w:rsidRDefault="00B2255D" w:rsidP="004C1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69233" w14:textId="6320BEC7" w:rsidR="004C1486" w:rsidRDefault="004C1486" w:rsidP="004C1486">
    <w:pPr>
      <w:pStyle w:val="Intestazione"/>
      <w:jc w:val="center"/>
    </w:pPr>
    <w:r>
      <w:rPr>
        <w:rFonts w:ascii="Titillium Web" w:hAnsi="Titillium Web" w:cs="Arial"/>
        <w:noProof/>
        <w:color w:val="D21C1E"/>
        <w:sz w:val="27"/>
        <w:szCs w:val="27"/>
      </w:rPr>
      <w:drawing>
        <wp:inline distT="0" distB="0" distL="0" distR="0" wp14:anchorId="0F1BE15D" wp14:editId="3BA15BC5">
          <wp:extent cx="848549" cy="504000"/>
          <wp:effectExtent l="0" t="0" r="8890" b="0"/>
          <wp:docPr id="1" name="Immagine 1" descr="Regione Lombardia">
            <a:hlinkClick xmlns:a="http://schemas.openxmlformats.org/drawingml/2006/main" r:id="rId1" tgtFrame="&quot;_blank&quot;" tooltip="&quot;[Apre una nuova pagina] Regione Lombardi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Lombardia">
                    <a:hlinkClick r:id="rId1" tgtFrame="&quot;_blank&quot;" tooltip="&quot;[Apre una nuova pagina] Regione Lombardia&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549" cy="504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4D1C16"/>
    <w:multiLevelType w:val="hybridMultilevel"/>
    <w:tmpl w:val="7E808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0B55DCC"/>
    <w:multiLevelType w:val="hybridMultilevel"/>
    <w:tmpl w:val="2E221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0212368">
    <w:abstractNumId w:val="0"/>
  </w:num>
  <w:num w:numId="2" w16cid:durableId="290747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B30E7DD"/>
    <w:rsid w:val="000B5663"/>
    <w:rsid w:val="001738DB"/>
    <w:rsid w:val="001E6B29"/>
    <w:rsid w:val="002931A2"/>
    <w:rsid w:val="002A1FA8"/>
    <w:rsid w:val="002B246C"/>
    <w:rsid w:val="00460E13"/>
    <w:rsid w:val="004C1486"/>
    <w:rsid w:val="00553771"/>
    <w:rsid w:val="00623A15"/>
    <w:rsid w:val="00881F9E"/>
    <w:rsid w:val="009A7AB4"/>
    <w:rsid w:val="009E0B98"/>
    <w:rsid w:val="00B1587B"/>
    <w:rsid w:val="00B2255D"/>
    <w:rsid w:val="00E91B46"/>
    <w:rsid w:val="00F94AAB"/>
    <w:rsid w:val="03CF05CD"/>
    <w:rsid w:val="0B30E7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0E7DD"/>
  <w15:chartTrackingRefBased/>
  <w15:docId w15:val="{8130F40A-780E-4F17-83C4-AE8709FC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A7AB4"/>
    <w:pPr>
      <w:ind w:left="720"/>
      <w:contextualSpacing/>
    </w:pPr>
  </w:style>
  <w:style w:type="character" w:customStyle="1" w:styleId="normaltextrun">
    <w:name w:val="normaltextrun"/>
    <w:basedOn w:val="Carpredefinitoparagrafo"/>
    <w:rsid w:val="002B246C"/>
  </w:style>
  <w:style w:type="character" w:customStyle="1" w:styleId="eop">
    <w:name w:val="eop"/>
    <w:basedOn w:val="Carpredefinitoparagrafo"/>
    <w:rsid w:val="002B246C"/>
  </w:style>
  <w:style w:type="paragraph" w:customStyle="1" w:styleId="paragraph">
    <w:name w:val="paragraph"/>
    <w:basedOn w:val="Normale"/>
    <w:rsid w:val="0046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C14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1486"/>
  </w:style>
  <w:style w:type="paragraph" w:styleId="Pidipagina">
    <w:name w:val="footer"/>
    <w:basedOn w:val="Normale"/>
    <w:link w:val="PidipaginaCarattere"/>
    <w:uiPriority w:val="99"/>
    <w:unhideWhenUsed/>
    <w:rsid w:val="004C14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1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4645">
      <w:bodyDiv w:val="1"/>
      <w:marLeft w:val="0"/>
      <w:marRight w:val="0"/>
      <w:marTop w:val="0"/>
      <w:marBottom w:val="0"/>
      <w:divBdr>
        <w:top w:val="none" w:sz="0" w:space="0" w:color="auto"/>
        <w:left w:val="none" w:sz="0" w:space="0" w:color="auto"/>
        <w:bottom w:val="none" w:sz="0" w:space="0" w:color="auto"/>
        <w:right w:val="none" w:sz="0" w:space="0" w:color="auto"/>
      </w:divBdr>
    </w:div>
    <w:div w:id="1045104029">
      <w:bodyDiv w:val="1"/>
      <w:marLeft w:val="0"/>
      <w:marRight w:val="0"/>
      <w:marTop w:val="0"/>
      <w:marBottom w:val="0"/>
      <w:divBdr>
        <w:top w:val="none" w:sz="0" w:space="0" w:color="auto"/>
        <w:left w:val="none" w:sz="0" w:space="0" w:color="auto"/>
        <w:bottom w:val="none" w:sz="0" w:space="0" w:color="auto"/>
        <w:right w:val="none" w:sz="0" w:space="0" w:color="auto"/>
      </w:divBdr>
    </w:div>
    <w:div w:id="1175144703">
      <w:bodyDiv w:val="1"/>
      <w:marLeft w:val="0"/>
      <w:marRight w:val="0"/>
      <w:marTop w:val="0"/>
      <w:marBottom w:val="0"/>
      <w:divBdr>
        <w:top w:val="none" w:sz="0" w:space="0" w:color="auto"/>
        <w:left w:val="none" w:sz="0" w:space="0" w:color="auto"/>
        <w:bottom w:val="none" w:sz="0" w:space="0" w:color="auto"/>
        <w:right w:val="none" w:sz="0" w:space="0" w:color="auto"/>
      </w:divBdr>
    </w:div>
    <w:div w:id="1439718558">
      <w:bodyDiv w:val="1"/>
      <w:marLeft w:val="0"/>
      <w:marRight w:val="0"/>
      <w:marTop w:val="0"/>
      <w:marBottom w:val="0"/>
      <w:divBdr>
        <w:top w:val="none" w:sz="0" w:space="0" w:color="auto"/>
        <w:left w:val="none" w:sz="0" w:space="0" w:color="auto"/>
        <w:bottom w:val="none" w:sz="0" w:space="0" w:color="auto"/>
        <w:right w:val="none" w:sz="0" w:space="0" w:color="auto"/>
      </w:divBdr>
    </w:div>
    <w:div w:id="2100323848">
      <w:bodyDiv w:val="1"/>
      <w:marLeft w:val="0"/>
      <w:marRight w:val="0"/>
      <w:marTop w:val="0"/>
      <w:marBottom w:val="0"/>
      <w:divBdr>
        <w:top w:val="none" w:sz="0" w:space="0" w:color="auto"/>
        <w:left w:val="none" w:sz="0" w:space="0" w:color="auto"/>
        <w:bottom w:val="none" w:sz="0" w:space="0" w:color="auto"/>
        <w:right w:val="none" w:sz="0" w:space="0" w:color="auto"/>
      </w:divBdr>
      <w:divsChild>
        <w:div w:id="1842817299">
          <w:marLeft w:val="0"/>
          <w:marRight w:val="0"/>
          <w:marTop w:val="0"/>
          <w:marBottom w:val="0"/>
          <w:divBdr>
            <w:top w:val="none" w:sz="0" w:space="0" w:color="auto"/>
            <w:left w:val="none" w:sz="0" w:space="0" w:color="auto"/>
            <w:bottom w:val="none" w:sz="0" w:space="0" w:color="auto"/>
            <w:right w:val="none" w:sz="0" w:space="0" w:color="auto"/>
          </w:divBdr>
        </w:div>
        <w:div w:id="1216744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regione.lombardi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3188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Sudwaric Sharma</dc:creator>
  <cp:keywords/>
  <dc:description/>
  <cp:lastModifiedBy>Laiolo Antonella</cp:lastModifiedBy>
  <cp:revision>2</cp:revision>
  <dcterms:created xsi:type="dcterms:W3CDTF">2024-08-20T07:25:00Z</dcterms:created>
  <dcterms:modified xsi:type="dcterms:W3CDTF">2024-08-20T07:25:00Z</dcterms:modified>
</cp:coreProperties>
</file>