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4"/>
          <w:szCs w:val="24"/>
        </w:rPr>
      </w:pPr>
      <w:r>
        <w:rPr>
          <w:sz w:val="24"/>
          <w:szCs w:val="24"/>
        </w:rPr>
        <w:t>Nucleo di valutazione delle prestazioni Azienda Socio Sanitaria Territoriale di Cremona</w:t>
      </w:r>
    </w:p>
    <w:p>
      <w:pPr>
        <w:pStyle w:val="Normal"/>
        <w:jc w:val="both"/>
        <w:rPr/>
      </w:pPr>
      <w:r>
        <w:rPr/>
      </w:r>
    </w:p>
    <w:p>
      <w:pPr>
        <w:pStyle w:val="Normal"/>
        <w:ind w:left="4248" w:hanging="0"/>
        <w:jc w:val="both"/>
        <w:rPr>
          <w:sz w:val="24"/>
          <w:szCs w:val="24"/>
        </w:rPr>
      </w:pPr>
      <w:r>
        <w:rPr>
          <w:sz w:val="24"/>
          <w:szCs w:val="24"/>
        </w:rPr>
        <w:t>All’Azienda Socio Sanitaria Territoriale di Cremona</w:t>
      </w:r>
    </w:p>
    <w:p>
      <w:pPr>
        <w:pStyle w:val="Normal"/>
        <w:ind w:left="4248" w:hanging="0"/>
        <w:jc w:val="both"/>
        <w:rPr>
          <w:sz w:val="24"/>
          <w:szCs w:val="24"/>
        </w:rPr>
      </w:pPr>
      <w:r>
        <w:rPr>
          <w:sz w:val="24"/>
          <w:szCs w:val="24"/>
        </w:rPr>
        <w:t>Viale Concordia, 1 – 26100 Cremona</w:t>
      </w:r>
    </w:p>
    <w:p>
      <w:pPr>
        <w:pStyle w:val="Normal"/>
        <w:jc w:val="both"/>
        <w:rPr>
          <w:b/>
          <w:b/>
          <w:sz w:val="24"/>
          <w:szCs w:val="24"/>
        </w:rPr>
      </w:pPr>
      <w:r>
        <w:rPr>
          <w:b/>
          <w:sz w:val="24"/>
          <w:szCs w:val="24"/>
        </w:rPr>
      </w:r>
    </w:p>
    <w:p>
      <w:pPr>
        <w:pStyle w:val="Normal"/>
        <w:jc w:val="both"/>
        <w:rPr>
          <w:b/>
          <w:b/>
          <w:sz w:val="24"/>
          <w:szCs w:val="24"/>
        </w:rPr>
      </w:pPr>
      <w:r>
        <w:rPr>
          <w:b/>
          <w:sz w:val="24"/>
          <w:szCs w:val="24"/>
        </w:rPr>
        <w:t>Documento di validazione della Relazione sulla performance</w:t>
      </w:r>
    </w:p>
    <w:p>
      <w:pPr>
        <w:pStyle w:val="ListParagraph"/>
        <w:numPr>
          <w:ilvl w:val="0"/>
          <w:numId w:val="1"/>
        </w:numPr>
        <w:ind w:left="360" w:hanging="360"/>
        <w:jc w:val="both"/>
        <w:rPr/>
      </w:pPr>
      <w:r>
        <w:rPr>
          <w:sz w:val="24"/>
          <w:szCs w:val="24"/>
        </w:rPr>
        <w:t>Il Nucleo di valutazione delle prestazioni dell’A.S.S.T di Cremona, ai sensi dell’art. 14, comma 4, lett. C), del D. Lgs. N. 150/2009 e successive linee guida dell’OIV di Regione Lombardia, ha preso in esame la Relazione sulla performance sottoposta al Nucleo di valutazione delle prestazioni stesso in data 2</w:t>
      </w:r>
      <w:r>
        <w:rPr>
          <w:sz w:val="24"/>
          <w:szCs w:val="24"/>
        </w:rPr>
        <w:t>6</w:t>
      </w:r>
      <w:r>
        <w:rPr>
          <w:sz w:val="24"/>
          <w:szCs w:val="24"/>
        </w:rPr>
        <w:t>/06/201</w:t>
      </w:r>
      <w:r>
        <w:rPr>
          <w:sz w:val="24"/>
          <w:szCs w:val="24"/>
        </w:rPr>
        <w:t>9</w:t>
      </w:r>
      <w:r>
        <w:rPr>
          <w:sz w:val="24"/>
          <w:szCs w:val="24"/>
        </w:rPr>
        <w:t>.</w:t>
      </w:r>
    </w:p>
    <w:p>
      <w:pPr>
        <w:pStyle w:val="ListParagraph"/>
        <w:ind w:left="360" w:hanging="0"/>
        <w:jc w:val="both"/>
        <w:rPr>
          <w:sz w:val="24"/>
          <w:szCs w:val="24"/>
        </w:rPr>
      </w:pPr>
      <w:r>
        <w:rPr>
          <w:sz w:val="24"/>
          <w:szCs w:val="24"/>
        </w:rPr>
      </w:r>
    </w:p>
    <w:p>
      <w:pPr>
        <w:pStyle w:val="ListParagraph"/>
        <w:numPr>
          <w:ilvl w:val="0"/>
          <w:numId w:val="1"/>
        </w:numPr>
        <w:ind w:left="360" w:hanging="360"/>
        <w:jc w:val="both"/>
        <w:rPr>
          <w:sz w:val="24"/>
          <w:szCs w:val="24"/>
        </w:rPr>
      </w:pPr>
      <w:r>
        <w:rPr>
          <w:sz w:val="24"/>
          <w:szCs w:val="24"/>
        </w:rPr>
        <w:t>Il Nucleo di valutazione delle prestazioni ha svolto il proprio lavoro di validazione sulla base degli accertamenti che ha ritenuto opportuno nella fattispecie, tenendo anche conto che la Relazione riporta lo stato di attuazione degli obiettivi strategici evidenziando gli eventuali scostamenti e le valutazioni finali sulla performance organizzativa e individuale.</w:t>
      </w:r>
    </w:p>
    <w:p>
      <w:pPr>
        <w:pStyle w:val="ListParagraph"/>
        <w:ind w:left="0" w:hanging="0"/>
        <w:jc w:val="both"/>
        <w:rPr>
          <w:sz w:val="24"/>
          <w:szCs w:val="24"/>
        </w:rPr>
      </w:pPr>
      <w:r>
        <w:rPr>
          <w:sz w:val="24"/>
          <w:szCs w:val="24"/>
        </w:rPr>
      </w:r>
    </w:p>
    <w:p>
      <w:pPr>
        <w:pStyle w:val="ListParagraph"/>
        <w:numPr>
          <w:ilvl w:val="0"/>
          <w:numId w:val="1"/>
        </w:numPr>
        <w:ind w:left="360" w:hanging="360"/>
        <w:jc w:val="both"/>
        <w:rPr>
          <w:sz w:val="24"/>
          <w:szCs w:val="24"/>
        </w:rPr>
      </w:pPr>
      <w:r>
        <w:rPr>
          <w:sz w:val="24"/>
          <w:szCs w:val="24"/>
        </w:rPr>
        <w:t>La documentazione del processo di validazione e le motivate conclusioni raggiunte su ciascuno dei punti esaminati nel processo sono contenute in apposite sezioni delle carte di lavoro conservate presso il Nucleo di valutazione delle prestazioni.</w:t>
      </w:r>
    </w:p>
    <w:p>
      <w:pPr>
        <w:pStyle w:val="ListParagraph"/>
        <w:ind w:left="360" w:hanging="0"/>
        <w:jc w:val="both"/>
        <w:rPr>
          <w:sz w:val="24"/>
          <w:szCs w:val="24"/>
        </w:rPr>
      </w:pPr>
      <w:r>
        <w:rPr>
          <w:sz w:val="24"/>
          <w:szCs w:val="24"/>
        </w:rPr>
      </w:r>
    </w:p>
    <w:p>
      <w:pPr>
        <w:pStyle w:val="ListParagraph"/>
        <w:numPr>
          <w:ilvl w:val="0"/>
          <w:numId w:val="1"/>
        </w:numPr>
        <w:ind w:left="360" w:hanging="360"/>
        <w:jc w:val="both"/>
        <w:rPr>
          <w:sz w:val="24"/>
          <w:szCs w:val="24"/>
        </w:rPr>
      </w:pPr>
      <w:r>
        <w:rPr>
          <w:sz w:val="24"/>
          <w:szCs w:val="24"/>
        </w:rPr>
        <w:t>Tutto ciò premesso il NVP valida la Relazione sulla performance.</w:t>
      </w:r>
    </w:p>
    <w:p>
      <w:pPr>
        <w:pStyle w:val="Normal"/>
        <w:jc w:val="both"/>
        <w:rPr/>
      </w:pPr>
      <w:r>
        <w:rPr>
          <w:sz w:val="24"/>
          <w:szCs w:val="24"/>
        </w:rPr>
        <w:t>2</w:t>
      </w:r>
      <w:bookmarkStart w:id="0" w:name="_GoBack"/>
      <w:bookmarkEnd w:id="0"/>
      <w:r>
        <w:rPr>
          <w:sz w:val="24"/>
          <w:szCs w:val="24"/>
        </w:rPr>
        <w:t>6</w:t>
      </w:r>
      <w:r>
        <w:rPr>
          <w:sz w:val="24"/>
          <w:szCs w:val="24"/>
        </w:rPr>
        <w:t>/06/201</w:t>
      </w:r>
      <w:r>
        <w:rPr>
          <w:sz w:val="24"/>
          <w:szCs w:val="24"/>
        </w:rPr>
        <w:t>9</w:t>
      </w:r>
    </w:p>
    <w:p>
      <w:pPr>
        <w:pStyle w:val="Normal"/>
        <w:jc w:val="right"/>
        <w:rPr>
          <w:sz w:val="24"/>
          <w:szCs w:val="24"/>
        </w:rPr>
      </w:pPr>
      <w:r>
        <w:rPr>
          <w:sz w:val="24"/>
          <w:szCs w:val="24"/>
        </w:rPr>
      </w:r>
    </w:p>
    <w:p>
      <w:pPr>
        <w:pStyle w:val="Normal"/>
        <w:jc w:val="right"/>
        <w:rPr>
          <w:sz w:val="24"/>
          <w:szCs w:val="24"/>
        </w:rPr>
      </w:pPr>
      <w:r>
        <w:rPr>
          <w:sz w:val="24"/>
          <w:szCs w:val="24"/>
        </w:rPr>
        <w:t>Stefano Del Missier</w:t>
      </w:r>
    </w:p>
    <w:p>
      <w:pPr>
        <w:pStyle w:val="Normal"/>
        <w:jc w:val="right"/>
        <w:rPr>
          <w:sz w:val="24"/>
          <w:szCs w:val="24"/>
        </w:rPr>
      </w:pPr>
      <w:r>
        <w:rPr>
          <w:sz w:val="24"/>
          <w:szCs w:val="24"/>
        </w:rPr>
        <w:t>Presidente</w:t>
      </w:r>
    </w:p>
    <w:p>
      <w:pPr>
        <w:pStyle w:val="Normal"/>
        <w:jc w:val="right"/>
        <w:rPr>
          <w:sz w:val="24"/>
          <w:szCs w:val="24"/>
        </w:rPr>
      </w:pPr>
      <w:r>
        <w:rPr>
          <w:sz w:val="24"/>
          <w:szCs w:val="24"/>
        </w:rPr>
      </w:r>
    </w:p>
    <w:p>
      <w:pPr>
        <w:pStyle w:val="Normal"/>
        <w:jc w:val="right"/>
        <w:rPr>
          <w:sz w:val="24"/>
          <w:szCs w:val="24"/>
        </w:rPr>
      </w:pPr>
      <w:r>
        <w:rPr>
          <w:sz w:val="24"/>
          <w:szCs w:val="24"/>
        </w:rPr>
        <w:t>Giacomo Boscagli</w:t>
      </w:r>
    </w:p>
    <w:p>
      <w:pPr>
        <w:pStyle w:val="Normal"/>
        <w:jc w:val="right"/>
        <w:rPr>
          <w:sz w:val="24"/>
          <w:szCs w:val="24"/>
        </w:rPr>
      </w:pPr>
      <w:r>
        <w:rPr>
          <w:sz w:val="24"/>
          <w:szCs w:val="24"/>
        </w:rPr>
        <w:t>Componente</w:t>
      </w:r>
    </w:p>
    <w:p>
      <w:pPr>
        <w:pStyle w:val="Normal"/>
        <w:jc w:val="right"/>
        <w:rPr>
          <w:sz w:val="24"/>
          <w:szCs w:val="24"/>
        </w:rPr>
      </w:pPr>
      <w:r>
        <w:rPr>
          <w:sz w:val="24"/>
          <w:szCs w:val="24"/>
        </w:rPr>
      </w:r>
    </w:p>
    <w:p>
      <w:pPr>
        <w:pStyle w:val="Normal"/>
        <w:jc w:val="right"/>
        <w:rPr>
          <w:sz w:val="24"/>
          <w:szCs w:val="24"/>
        </w:rPr>
      </w:pPr>
      <w:r>
        <w:rPr>
          <w:sz w:val="24"/>
          <w:szCs w:val="24"/>
        </w:rPr>
        <w:t>Raul Ragazzoni</w:t>
      </w:r>
    </w:p>
    <w:p>
      <w:pPr>
        <w:pStyle w:val="Normal"/>
        <w:spacing w:before="0" w:after="200"/>
        <w:jc w:val="right"/>
        <w:rPr/>
      </w:pPr>
      <w:r>
        <w:rPr>
          <w:sz w:val="24"/>
          <w:szCs w:val="24"/>
        </w:rPr>
        <w:t>Componente</w:t>
      </w:r>
      <w:r>
        <w:rPr/>
        <w:t xml:space="preserve"> </w:t>
      </w:r>
    </w:p>
    <w:sectPr>
      <w:type w:val="nextPage"/>
      <w:pgSz w:w="11906" w:h="16838"/>
      <w:pgMar w:left="1134" w:right="1134"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Tahoma">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Letter"/>
      <w:lvlText w:val="%1."/>
      <w:lvlJc w:val="left"/>
      <w:pPr>
        <w:ind w:left="1068" w:hanging="360"/>
      </w:pPr>
      <w:rPr>
        <w:sz w:val="24"/>
      </w:rPr>
    </w:lvl>
    <w:lvl w:ilvl="1">
      <w:start w:val="1"/>
      <w:numFmt w:val="lowerLetter"/>
      <w:lvlText w:val="%2."/>
      <w:lvlJc w:val="left"/>
      <w:pPr>
        <w:ind w:left="1788" w:hanging="360"/>
      </w:pPr>
      <w:rPr>
        <w:sz w:val="24"/>
      </w:rPr>
    </w:lvl>
    <w:lvl w:ilvl="2">
      <w:start w:val="1"/>
      <w:numFmt w:val="lowerRoman"/>
      <w:lvlText w:val="%3."/>
      <w:lvlJc w:val="right"/>
      <w:pPr>
        <w:ind w:left="2508" w:hanging="180"/>
      </w:pPr>
      <w:rPr>
        <w:sz w:val="24"/>
      </w:rPr>
    </w:lvl>
    <w:lvl w:ilvl="3">
      <w:start w:val="1"/>
      <w:numFmt w:val="decimal"/>
      <w:lvlText w:val="%4."/>
      <w:lvlJc w:val="left"/>
      <w:pPr>
        <w:ind w:left="3228" w:hanging="360"/>
      </w:pPr>
      <w:rPr>
        <w:sz w:val="24"/>
      </w:rPr>
    </w:lvl>
    <w:lvl w:ilvl="4">
      <w:start w:val="1"/>
      <w:numFmt w:val="lowerLetter"/>
      <w:lvlText w:val="%5."/>
      <w:lvlJc w:val="left"/>
      <w:pPr>
        <w:ind w:left="3948" w:hanging="360"/>
      </w:pPr>
      <w:rPr>
        <w:sz w:val="24"/>
      </w:rPr>
    </w:lvl>
    <w:lvl w:ilvl="5">
      <w:start w:val="1"/>
      <w:numFmt w:val="lowerRoman"/>
      <w:lvlText w:val="%6."/>
      <w:lvlJc w:val="right"/>
      <w:pPr>
        <w:ind w:left="4668" w:hanging="180"/>
      </w:pPr>
      <w:rPr>
        <w:sz w:val="24"/>
      </w:rPr>
    </w:lvl>
    <w:lvl w:ilvl="6">
      <w:start w:val="1"/>
      <w:numFmt w:val="decimal"/>
      <w:lvlText w:val="%7."/>
      <w:lvlJc w:val="left"/>
      <w:pPr>
        <w:ind w:left="5388" w:hanging="360"/>
      </w:pPr>
      <w:rPr>
        <w:sz w:val="24"/>
      </w:rPr>
    </w:lvl>
    <w:lvl w:ilvl="7">
      <w:start w:val="1"/>
      <w:numFmt w:val="lowerLetter"/>
      <w:lvlText w:val="%8."/>
      <w:lvlJc w:val="left"/>
      <w:pPr>
        <w:ind w:left="6108" w:hanging="360"/>
      </w:pPr>
      <w:rPr>
        <w:sz w:val="24"/>
      </w:rPr>
    </w:lvl>
    <w:lvl w:ilvl="8">
      <w:start w:val="1"/>
      <w:numFmt w:val="lowerRoman"/>
      <w:lvlText w:val="%9."/>
      <w:lvlJc w:val="right"/>
      <w:pPr>
        <w:ind w:left="6828" w:hanging="180"/>
      </w:pPr>
      <w:rPr>
        <w:sz w:val="24"/>
      </w:rPr>
    </w:lvl>
  </w:abstractNum>
  <w:abstractNum w:abstractNumId="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it-IT" w:eastAsia="it-IT" w:bidi="ar-SA"/>
      </w:rPr>
    </w:rPrDefault>
    <w:pPrDefault>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61a1d"/>
    <w:pPr>
      <w:widowControl/>
      <w:suppressAutoHyphens w:val="true"/>
      <w:bidi w:val="0"/>
      <w:spacing w:lineRule="auto" w:line="276" w:before="0" w:after="200"/>
      <w:jc w:val="left"/>
    </w:pPr>
    <w:rPr>
      <w:rFonts w:ascii="Calibri" w:hAnsi="Calibri" w:eastAsia="Calibri" w:cs="Times New Roman"/>
      <w:color w:val="auto"/>
      <w:sz w:val="22"/>
      <w:szCs w:val="22"/>
      <w:lang w:eastAsia="en-US" w:val="it-IT" w:bidi="ar-SA"/>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Testofumetto"/>
    <w:uiPriority w:val="99"/>
    <w:semiHidden/>
    <w:qFormat/>
    <w:rsid w:val="00b74261"/>
    <w:rPr>
      <w:rFonts w:ascii="Times New Roman" w:hAnsi="Times New Roman"/>
      <w:sz w:val="0"/>
      <w:szCs w:val="0"/>
      <w:lang w:eastAsia="en-US"/>
    </w:rPr>
  </w:style>
  <w:style w:type="character" w:styleId="ListLabel1">
    <w:name w:val="ListLabel 1"/>
    <w:qFormat/>
    <w:rPr>
      <w:rFonts w:cs="Times New Roman"/>
      <w:sz w:val="24"/>
    </w:rPr>
  </w:style>
  <w:style w:type="paragraph" w:styleId="Titolo">
    <w:name w:val="Titolo"/>
    <w:basedOn w:val="Normal"/>
    <w:next w:val="Corpodeltesto"/>
    <w:qFormat/>
    <w:pPr>
      <w:keepNext/>
      <w:spacing w:before="240" w:after="120"/>
    </w:pPr>
    <w:rPr>
      <w:rFonts w:ascii="Liberation Sans" w:hAnsi="Liberation Sans" w:eastAsia="Microsoft YaHei" w:cs="Mangal"/>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Mangal"/>
    </w:rPr>
  </w:style>
  <w:style w:type="paragraph" w:styleId="Didascalia">
    <w:name w:val="Didascalia"/>
    <w:basedOn w:val="Normal"/>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ListParagraph">
    <w:name w:val="List Paragraph"/>
    <w:basedOn w:val="Normal"/>
    <w:uiPriority w:val="99"/>
    <w:qFormat/>
    <w:rsid w:val="008d6794"/>
    <w:pPr>
      <w:spacing w:before="0" w:after="200"/>
      <w:ind w:left="720" w:hanging="0"/>
      <w:contextualSpacing/>
    </w:pPr>
    <w:rPr/>
  </w:style>
  <w:style w:type="paragraph" w:styleId="BalloonText">
    <w:name w:val="Balloon Text"/>
    <w:basedOn w:val="Normal"/>
    <w:link w:val="TestofumettoCarattere"/>
    <w:uiPriority w:val="99"/>
    <w:semiHidden/>
    <w:qFormat/>
    <w:rsid w:val="00a443f1"/>
    <w:pPr/>
    <w:rPr>
      <w:rFonts w:ascii="Tahoma" w:hAnsi="Tahoma" w:cs="Tahoma"/>
      <w:sz w:val="16"/>
      <w:szCs w:val="16"/>
    </w:rPr>
  </w:style>
  <w:style w:type="numbering" w:styleId="NoList" w:default="1">
    <w:name w:val="No List"/>
    <w:uiPriority w:val="99"/>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Application>LibreOffice/4.4.1.2$Windows_x86 LibreOffice_project/45e2de17089c24a1fa810c8f975a7171ba4cd432</Application>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2018-06-27T13:34:00Z</dcterms:created>
  <dc:creator>valentina</dc:creator>
  <dc:language>it-IT</dc:language>
  <cp:lastPrinted>2018-06-27T13:33:00Z</cp:lastPrinted>
  <dcterms:modified xsi:type="dcterms:W3CDTF">2019-06-26T09:49:49Z</dcterms:modified>
  <cp:revision>3</cp:revision>
  <dc:title>Nucleo di valutazione delle prestazioni Azienda Socio Sanitaria Territoriale di Cremona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